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993"/>
        <w:gridCol w:w="5528"/>
        <w:gridCol w:w="567"/>
        <w:gridCol w:w="2551"/>
      </w:tblGrid>
      <w:tr w:rsidR="0082020C" w14:paraId="155B44C3" w14:textId="77777777" w:rsidTr="000C6C61">
        <w:tc>
          <w:tcPr>
            <w:tcW w:w="993" w:type="dxa"/>
            <w:shd w:val="clear" w:color="auto" w:fill="auto"/>
          </w:tcPr>
          <w:p w14:paraId="3728E60B" w14:textId="77777777" w:rsidR="0082020C" w:rsidRPr="000C6C61" w:rsidRDefault="00062768" w:rsidP="00D65B56">
            <w:pPr>
              <w:pStyle w:val="Headerdetails"/>
              <w:rPr>
                <w:b/>
              </w:rPr>
            </w:pPr>
            <w:r w:rsidRPr="000C6C61">
              <w:rPr>
                <w:b/>
              </w:rPr>
              <w:t>T</w:t>
            </w:r>
            <w:r w:rsidR="0082020C" w:rsidRPr="000C6C61">
              <w:rPr>
                <w:b/>
              </w:rPr>
              <w:t>itle:</w:t>
            </w:r>
          </w:p>
        </w:tc>
        <w:tc>
          <w:tcPr>
            <w:tcW w:w="8646" w:type="dxa"/>
            <w:gridSpan w:val="3"/>
            <w:shd w:val="clear" w:color="auto" w:fill="auto"/>
          </w:tcPr>
          <w:p w14:paraId="7C51DDEF" w14:textId="77777777" w:rsidR="0082020C" w:rsidRDefault="003B64E9" w:rsidP="00D65B56">
            <w:pPr>
              <w:pStyle w:val="Headerdetails"/>
            </w:pPr>
            <w:r>
              <w:t>X-Ray Fluorescence</w:t>
            </w:r>
            <w:r w:rsidR="00A73B88">
              <w:t xml:space="preserve"> (XRF)</w:t>
            </w:r>
          </w:p>
        </w:tc>
      </w:tr>
      <w:tr w:rsidR="0082020C" w14:paraId="34684E65" w14:textId="77777777" w:rsidTr="000C6C61">
        <w:tc>
          <w:tcPr>
            <w:tcW w:w="993" w:type="dxa"/>
            <w:shd w:val="clear" w:color="auto" w:fill="auto"/>
          </w:tcPr>
          <w:p w14:paraId="35F53D2B" w14:textId="77777777" w:rsidR="0082020C" w:rsidRPr="000C6C61" w:rsidRDefault="00791A2A" w:rsidP="00D65B56">
            <w:pPr>
              <w:pStyle w:val="Headerdetails"/>
              <w:rPr>
                <w:b/>
              </w:rPr>
            </w:pPr>
            <w:r w:rsidRPr="000C6C61">
              <w:rPr>
                <w:b/>
              </w:rPr>
              <w:t>From</w:t>
            </w:r>
            <w:r w:rsidR="0082020C" w:rsidRPr="000C6C61">
              <w:rPr>
                <w:b/>
              </w:rPr>
              <w:t>:</w:t>
            </w:r>
          </w:p>
        </w:tc>
        <w:tc>
          <w:tcPr>
            <w:tcW w:w="5528" w:type="dxa"/>
            <w:shd w:val="clear" w:color="auto" w:fill="auto"/>
          </w:tcPr>
          <w:p w14:paraId="15041F68" w14:textId="77777777" w:rsidR="0082020C" w:rsidRDefault="003B64E9" w:rsidP="00D65B56">
            <w:pPr>
              <w:pStyle w:val="Headerdetails"/>
            </w:pPr>
            <w:r>
              <w:t>Peter Morgan</w:t>
            </w:r>
            <w:r w:rsidR="00FA125E">
              <w:t xml:space="preserve"> (RPS)</w:t>
            </w:r>
          </w:p>
        </w:tc>
        <w:tc>
          <w:tcPr>
            <w:tcW w:w="567" w:type="dxa"/>
            <w:shd w:val="clear" w:color="auto" w:fill="auto"/>
          </w:tcPr>
          <w:p w14:paraId="13FF3A49" w14:textId="77777777" w:rsidR="0082020C" w:rsidRPr="000C6C61" w:rsidRDefault="00062768" w:rsidP="00D65B56">
            <w:pPr>
              <w:pStyle w:val="Headerdetails"/>
              <w:rPr>
                <w:b/>
              </w:rPr>
            </w:pPr>
            <w:r w:rsidRPr="000C6C61">
              <w:rPr>
                <w:b/>
              </w:rPr>
              <w:t>Date</w:t>
            </w:r>
            <w:r w:rsidR="0082020C" w:rsidRPr="000C6C61">
              <w:rPr>
                <w:b/>
              </w:rPr>
              <w:t>: </w:t>
            </w:r>
          </w:p>
        </w:tc>
        <w:tc>
          <w:tcPr>
            <w:tcW w:w="2551" w:type="dxa"/>
            <w:shd w:val="clear" w:color="auto" w:fill="auto"/>
          </w:tcPr>
          <w:p w14:paraId="0520AB5E" w14:textId="77777777" w:rsidR="0082020C" w:rsidRDefault="003B64E9" w:rsidP="00D65B56">
            <w:pPr>
              <w:pStyle w:val="Headerdetails"/>
            </w:pPr>
            <w:r>
              <w:t>28/11/19</w:t>
            </w:r>
          </w:p>
        </w:tc>
      </w:tr>
    </w:tbl>
    <w:p w14:paraId="672A6659" w14:textId="77777777" w:rsidR="00ED2E52" w:rsidRDefault="00ED2E52" w:rsidP="00A73B88">
      <w:pPr>
        <w:jc w:val="center"/>
      </w:pPr>
    </w:p>
    <w:p w14:paraId="7F44C142" w14:textId="77777777" w:rsidR="006D6B26" w:rsidRDefault="006D6B26" w:rsidP="006D6B26">
      <w:pPr>
        <w:pStyle w:val="Heading1"/>
      </w:pPr>
      <w:r>
        <w:t>What does the instrument measure?</w:t>
      </w:r>
    </w:p>
    <w:p w14:paraId="282934D7" w14:textId="4DDABA27" w:rsidR="006D6B26" w:rsidRDefault="006D6B26" w:rsidP="006D6B26">
      <w:r>
        <w:t>The XRF analyser will quantify the elemental composition of a sample, so if you are interested in it take some</w:t>
      </w:r>
      <w:r w:rsidR="008C770A">
        <w:t xml:space="preserve"> time to revise some chemistry </w:t>
      </w:r>
      <w:r>
        <w:t xml:space="preserve">see </w:t>
      </w:r>
      <w:r w:rsidR="008C770A">
        <w:t>the periodic table</w:t>
      </w:r>
      <w:bookmarkStart w:id="0" w:name="_GoBack"/>
      <w:bookmarkEnd w:id="0"/>
      <w:r>
        <w:t xml:space="preserve">. Our analyser The </w:t>
      </w:r>
      <w:proofErr w:type="spellStart"/>
      <w:r>
        <w:t>Niton</w:t>
      </w:r>
      <w:proofErr w:type="spellEnd"/>
      <w:r>
        <w:t xml:space="preserve"> XL3T GOLDD can detect elements Mg to U.</w:t>
      </w:r>
    </w:p>
    <w:p w14:paraId="0A37501D" w14:textId="0474753F" w:rsidR="006D6B26" w:rsidRDefault="006D6B26" w:rsidP="006D6B26"/>
    <w:p w14:paraId="6EE1D720" w14:textId="77777777" w:rsidR="00D60981" w:rsidRDefault="00D60981" w:rsidP="00D60981">
      <w:pPr>
        <w:pStyle w:val="Heading1"/>
      </w:pPr>
      <w:r>
        <w:t>Applications</w:t>
      </w:r>
    </w:p>
    <w:p w14:paraId="5DAB6C7B" w14:textId="77777777" w:rsidR="00D60981" w:rsidRDefault="00D60981" w:rsidP="00D60981"/>
    <w:p w14:paraId="02EB378F" w14:textId="77777777" w:rsidR="009D63E1" w:rsidRDefault="009D63E1" w:rsidP="00D60981">
      <w:pPr>
        <w:sectPr w:rsidR="009D63E1" w:rsidSect="00695D76">
          <w:footerReference w:type="default" r:id="rId10"/>
          <w:headerReference w:type="first" r:id="rId11"/>
          <w:pgSz w:w="11906" w:h="16838" w:code="9"/>
          <w:pgMar w:top="680" w:right="851" w:bottom="1191" w:left="1418" w:header="454" w:footer="680" w:gutter="0"/>
          <w:cols w:space="708"/>
          <w:titlePg/>
          <w:docGrid w:linePitch="360"/>
        </w:sectPr>
      </w:pPr>
    </w:p>
    <w:p w14:paraId="2159DECE" w14:textId="77777777" w:rsidR="00D60981" w:rsidRDefault="00D60981" w:rsidP="00D60981">
      <w:r>
        <w:t>The instrument is used in a range of industries:</w:t>
      </w:r>
    </w:p>
    <w:p w14:paraId="200BC8D1" w14:textId="77777777" w:rsidR="00D60981" w:rsidRDefault="00D60981" w:rsidP="00D60981">
      <w:pPr>
        <w:numPr>
          <w:ilvl w:val="0"/>
          <w:numId w:val="42"/>
        </w:numPr>
      </w:pPr>
      <w:r>
        <w:t>Scrap metal recycling</w:t>
      </w:r>
    </w:p>
    <w:p w14:paraId="23F51495" w14:textId="77777777" w:rsidR="00D60981" w:rsidRDefault="00D60981" w:rsidP="00D60981">
      <w:pPr>
        <w:numPr>
          <w:ilvl w:val="0"/>
          <w:numId w:val="42"/>
        </w:numPr>
      </w:pPr>
      <w:r>
        <w:t>Mining</w:t>
      </w:r>
    </w:p>
    <w:p w14:paraId="4CCCCD6B" w14:textId="77777777" w:rsidR="00D60981" w:rsidRDefault="00D60981" w:rsidP="00D60981">
      <w:pPr>
        <w:numPr>
          <w:ilvl w:val="0"/>
          <w:numId w:val="42"/>
        </w:numPr>
      </w:pPr>
      <w:r>
        <w:t>Precious metals</w:t>
      </w:r>
    </w:p>
    <w:p w14:paraId="18649F39" w14:textId="77777777" w:rsidR="00D60981" w:rsidRDefault="00D60981" w:rsidP="00D60981">
      <w:pPr>
        <w:numPr>
          <w:ilvl w:val="0"/>
          <w:numId w:val="42"/>
        </w:numPr>
      </w:pPr>
      <w:r>
        <w:t>Consumer goods</w:t>
      </w:r>
    </w:p>
    <w:p w14:paraId="6A05A809" w14:textId="77777777" w:rsidR="00D60981" w:rsidRDefault="00D60981" w:rsidP="00D60981"/>
    <w:p w14:paraId="28C0DD90" w14:textId="77777777" w:rsidR="00D60981" w:rsidRDefault="00D60981" w:rsidP="00D60981">
      <w:r>
        <w:t>Applications in Geography and Environmental Science include:</w:t>
      </w:r>
    </w:p>
    <w:p w14:paraId="1D444C88" w14:textId="77777777" w:rsidR="00D60981" w:rsidRDefault="00D60981" w:rsidP="00D60981">
      <w:pPr>
        <w:numPr>
          <w:ilvl w:val="0"/>
          <w:numId w:val="43"/>
        </w:numPr>
      </w:pPr>
      <w:r>
        <w:t>Characterising soils (</w:t>
      </w:r>
      <w:proofErr w:type="spellStart"/>
      <w:r>
        <w:t>Weindorf</w:t>
      </w:r>
      <w:proofErr w:type="spellEnd"/>
      <w:r>
        <w:t xml:space="preserve"> </w:t>
      </w:r>
      <w:r w:rsidRPr="00D60981">
        <w:rPr>
          <w:i/>
        </w:rPr>
        <w:t>et al</w:t>
      </w:r>
      <w:r>
        <w:t xml:space="preserve"> 2012)</w:t>
      </w:r>
    </w:p>
    <w:p w14:paraId="27277761" w14:textId="77777777" w:rsidR="00D60981" w:rsidRDefault="00D60981" w:rsidP="00D60981">
      <w:pPr>
        <w:numPr>
          <w:ilvl w:val="0"/>
          <w:numId w:val="43"/>
        </w:numPr>
      </w:pPr>
      <w:r>
        <w:t xml:space="preserve">Investigating soil fertility (Sharma </w:t>
      </w:r>
      <w:r w:rsidRPr="00D60981">
        <w:rPr>
          <w:i/>
        </w:rPr>
        <w:t>et al</w:t>
      </w:r>
      <w:r>
        <w:t xml:space="preserve"> 2014)</w:t>
      </w:r>
    </w:p>
    <w:p w14:paraId="31644409" w14:textId="77777777" w:rsidR="00D60981" w:rsidRPr="00D60981" w:rsidRDefault="00D60981" w:rsidP="00D60981">
      <w:pPr>
        <w:numPr>
          <w:ilvl w:val="0"/>
          <w:numId w:val="43"/>
        </w:numPr>
      </w:pPr>
      <w:r>
        <w:t>Elemental assess</w:t>
      </w:r>
      <w:r w:rsidR="00880498">
        <w:t>ment of vegetation (</w:t>
      </w:r>
      <w:proofErr w:type="spellStart"/>
      <w:r w:rsidR="00880498">
        <w:t>McGladdery</w:t>
      </w:r>
      <w:proofErr w:type="spellEnd"/>
      <w:r w:rsidR="00880498">
        <w:t xml:space="preserve"> </w:t>
      </w:r>
      <w:r w:rsidR="00880498" w:rsidRPr="00880498">
        <w:rPr>
          <w:i/>
        </w:rPr>
        <w:t>et al</w:t>
      </w:r>
      <w:r w:rsidR="00880498">
        <w:t xml:space="preserve"> 2018)</w:t>
      </w:r>
    </w:p>
    <w:p w14:paraId="5A39BBE3" w14:textId="77777777" w:rsidR="009D63E1" w:rsidRDefault="009D63E1" w:rsidP="003B64E9">
      <w:pPr>
        <w:pStyle w:val="Heading1"/>
        <w:sectPr w:rsidR="009D63E1" w:rsidSect="009D63E1">
          <w:type w:val="continuous"/>
          <w:pgSz w:w="11906" w:h="16838" w:code="9"/>
          <w:pgMar w:top="680" w:right="851" w:bottom="1191" w:left="1418" w:header="454" w:footer="680" w:gutter="0"/>
          <w:cols w:num="2" w:space="708"/>
          <w:titlePg/>
          <w:docGrid w:linePitch="360"/>
        </w:sectPr>
      </w:pPr>
    </w:p>
    <w:p w14:paraId="35418B97" w14:textId="77777777" w:rsidR="003B64E9" w:rsidRDefault="003B64E9" w:rsidP="003B64E9">
      <w:pPr>
        <w:pStyle w:val="Heading1"/>
      </w:pPr>
      <w:r>
        <w:lastRenderedPageBreak/>
        <w:t>How does the instrument work?</w:t>
      </w:r>
    </w:p>
    <w:p w14:paraId="41C8F396" w14:textId="77777777" w:rsidR="003B64E9" w:rsidRDefault="003B64E9" w:rsidP="003B64E9"/>
    <w:p w14:paraId="77A40AC1" w14:textId="77777777" w:rsidR="003B64E9" w:rsidRDefault="003B64E9" w:rsidP="003B64E9">
      <w:pPr>
        <w:rPr>
          <w:rFonts w:ascii="Calibri" w:eastAsia="SimSun" w:hAnsi="Calibri" w:cs="Arial"/>
          <w:sz w:val="22"/>
          <w:szCs w:val="22"/>
          <w:lang w:eastAsia="zh-CN"/>
        </w:rPr>
      </w:pPr>
      <w:r>
        <w:rPr>
          <w:rFonts w:ascii="Calibri" w:eastAsia="SimSun" w:hAnsi="Calibri" w:cs="Arial"/>
          <w:sz w:val="22"/>
          <w:szCs w:val="22"/>
          <w:lang w:eastAsia="zh-CN"/>
        </w:rPr>
        <w:t xml:space="preserve">Take a look at this video for an explanation: </w:t>
      </w:r>
      <w:hyperlink r:id="rId12" w:history="1">
        <w:r w:rsidRPr="00F7415C">
          <w:rPr>
            <w:rStyle w:val="Hyperlink"/>
            <w:rFonts w:ascii="Calibri" w:eastAsia="SimSun" w:hAnsi="Calibri" w:cs="Arial"/>
            <w:sz w:val="22"/>
            <w:szCs w:val="22"/>
            <w:lang w:eastAsia="zh-CN"/>
          </w:rPr>
          <w:t>https://www.youtube.com/watch?v=cAKcOyrt5Vc</w:t>
        </w:r>
      </w:hyperlink>
    </w:p>
    <w:p w14:paraId="0A02780E" w14:textId="77777777" w:rsidR="00A73B88" w:rsidRDefault="00A73B88" w:rsidP="003B64E9">
      <w:pPr>
        <w:rPr>
          <w:rFonts w:ascii="Calibri" w:eastAsia="SimSun" w:hAnsi="Calibri" w:cs="Arial"/>
          <w:sz w:val="22"/>
          <w:szCs w:val="22"/>
          <w:lang w:eastAsia="zh-CN"/>
        </w:rPr>
      </w:pPr>
      <w:r>
        <w:rPr>
          <w:rFonts w:ascii="Calibri" w:eastAsia="SimSun" w:hAnsi="Calibri" w:cs="Arial"/>
          <w:sz w:val="22"/>
          <w:szCs w:val="22"/>
          <w:lang w:eastAsia="zh-CN"/>
        </w:rPr>
        <w:t>If you prefer reading</w:t>
      </w:r>
      <w:r w:rsidR="00B95AFB">
        <w:rPr>
          <w:rFonts w:ascii="Calibri" w:eastAsia="SimSun" w:hAnsi="Calibri" w:cs="Arial"/>
          <w:sz w:val="22"/>
          <w:szCs w:val="22"/>
          <w:lang w:eastAsia="zh-CN"/>
        </w:rPr>
        <w:t>,</w:t>
      </w:r>
      <w:r>
        <w:rPr>
          <w:rFonts w:ascii="Calibri" w:eastAsia="SimSun" w:hAnsi="Calibri" w:cs="Arial"/>
          <w:sz w:val="22"/>
          <w:szCs w:val="22"/>
          <w:lang w:eastAsia="zh-CN"/>
        </w:rPr>
        <w:t xml:space="preserve"> see the </w:t>
      </w:r>
      <w:proofErr w:type="spellStart"/>
      <w:r>
        <w:rPr>
          <w:rFonts w:ascii="Calibri" w:eastAsia="SimSun" w:hAnsi="Calibri" w:cs="Arial"/>
          <w:sz w:val="22"/>
          <w:szCs w:val="22"/>
          <w:lang w:eastAsia="zh-CN"/>
        </w:rPr>
        <w:t>Niton</w:t>
      </w:r>
      <w:proofErr w:type="spellEnd"/>
      <w:r>
        <w:rPr>
          <w:rFonts w:ascii="Calibri" w:eastAsia="SimSun" w:hAnsi="Calibri" w:cs="Arial"/>
          <w:sz w:val="22"/>
          <w:szCs w:val="22"/>
          <w:lang w:eastAsia="zh-CN"/>
        </w:rPr>
        <w:t xml:space="preserve"> UK Guide to XRF technology.</w:t>
      </w:r>
    </w:p>
    <w:p w14:paraId="72A3D3EC" w14:textId="77777777" w:rsidR="006D6B26" w:rsidRDefault="006D6B26" w:rsidP="003B64E9">
      <w:pPr>
        <w:rPr>
          <w:rFonts w:ascii="Calibri" w:eastAsia="SimSun" w:hAnsi="Calibri" w:cs="Arial"/>
          <w:sz w:val="22"/>
          <w:szCs w:val="22"/>
          <w:lang w:eastAsia="zh-CN"/>
        </w:rPr>
      </w:pPr>
    </w:p>
    <w:p w14:paraId="3AFAB134" w14:textId="77777777" w:rsidR="003B64E9" w:rsidRDefault="009B21CC" w:rsidP="003B64E9">
      <w:pPr>
        <w:pStyle w:val="Heading1"/>
      </w:pPr>
      <w:r>
        <w:rPr>
          <w:noProof/>
        </w:rPr>
        <w:drawing>
          <wp:anchor distT="0" distB="0" distL="114300" distR="114300" simplePos="0" relativeHeight="251659264" behindDoc="1" locked="0" layoutInCell="1" allowOverlap="1" wp14:anchorId="6A801096" wp14:editId="07777777">
            <wp:simplePos x="0" y="0"/>
            <wp:positionH relativeFrom="column">
              <wp:posOffset>2827020</wp:posOffset>
            </wp:positionH>
            <wp:positionV relativeFrom="paragraph">
              <wp:posOffset>213360</wp:posOffset>
            </wp:positionV>
            <wp:extent cx="3438525" cy="2581275"/>
            <wp:effectExtent l="0" t="0" r="0" b="0"/>
            <wp:wrapTight wrapText="bothSides">
              <wp:wrapPolygon edited="0">
                <wp:start x="0" y="0"/>
                <wp:lineTo x="0" y="21520"/>
                <wp:lineTo x="21540" y="21520"/>
                <wp:lineTo x="21540" y="0"/>
                <wp:lineTo x="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4E9">
        <w:t>What are the safety considerations?</w:t>
      </w:r>
    </w:p>
    <w:p w14:paraId="0A536122" w14:textId="77777777" w:rsidR="003B64E9" w:rsidRDefault="00A73B88" w:rsidP="003B64E9">
      <w:r>
        <w:t>Because the instrument emits x-rays when analysing, there is a risk of ionising radiation.</w:t>
      </w:r>
      <w:r w:rsidR="006F7C0A">
        <w:t xml:space="preserve"> This has been investigated in a report on dose measurements taken by the RPS and RPA.</w:t>
      </w:r>
    </w:p>
    <w:p w14:paraId="47C8FBA0" w14:textId="77777777" w:rsidR="00A73B88" w:rsidRDefault="006F7C0A" w:rsidP="003B64E9">
      <w:r>
        <w:t xml:space="preserve">Given this risk </w:t>
      </w:r>
      <w:proofErr w:type="gramStart"/>
      <w:r>
        <w:t>assessment ,</w:t>
      </w:r>
      <w:proofErr w:type="gramEnd"/>
      <w:r>
        <w:t xml:space="preserve"> t</w:t>
      </w:r>
      <w:r w:rsidR="00A73B88">
        <w:t>herefore the instrument can only be used by authorised, trained personnel working in accordance with the local rules.</w:t>
      </w:r>
    </w:p>
    <w:p w14:paraId="451E2F9A" w14:textId="77777777" w:rsidR="00A73B88" w:rsidRDefault="00A73B88" w:rsidP="003B64E9">
      <w:r>
        <w:t xml:space="preserve">It is preferable </w:t>
      </w:r>
      <w:r w:rsidR="00972E3B">
        <w:t xml:space="preserve">that discrete sampling is used to allow the </w:t>
      </w:r>
      <w:r>
        <w:t xml:space="preserve">instrument </w:t>
      </w:r>
      <w:r w:rsidR="00972E3B">
        <w:t xml:space="preserve">to be </w:t>
      </w:r>
      <w:r>
        <w:t>used housed in its test stand</w:t>
      </w:r>
      <w:r w:rsidR="00972E3B">
        <w:t>. N</w:t>
      </w:r>
      <w:r>
        <w:t>on</w:t>
      </w:r>
      <w:r w:rsidR="00B95AFB">
        <w:t>-</w:t>
      </w:r>
      <w:r>
        <w:t>authorised persons must stay out of the radiation controlled zone, demarcated in the lab by the yellow and black line.</w:t>
      </w:r>
    </w:p>
    <w:p w14:paraId="0D0B940D" w14:textId="77777777" w:rsidR="00A73B88" w:rsidRDefault="00A73B88" w:rsidP="003B64E9"/>
    <w:p w14:paraId="0E27B00A" w14:textId="77777777" w:rsidR="00A73B88" w:rsidRDefault="00A73B88" w:rsidP="003B64E9">
      <w:pPr>
        <w:rPr>
          <w:noProof/>
          <w:lang w:eastAsia="zh-CN"/>
        </w:rPr>
      </w:pPr>
    </w:p>
    <w:p w14:paraId="60061E4C" w14:textId="77777777" w:rsidR="00A73B88" w:rsidRDefault="00A73B88" w:rsidP="003B64E9">
      <w:pPr>
        <w:rPr>
          <w:noProof/>
          <w:lang w:eastAsia="zh-CN"/>
        </w:rPr>
      </w:pPr>
    </w:p>
    <w:p w14:paraId="36664E1F" w14:textId="77777777" w:rsidR="00A73B88" w:rsidRDefault="009D63E1" w:rsidP="003B64E9">
      <w:r w:rsidRPr="00B95AFB">
        <w:rPr>
          <w:b/>
          <w:noProof/>
        </w:rPr>
        <w:drawing>
          <wp:anchor distT="0" distB="0" distL="114300" distR="114300" simplePos="0" relativeHeight="251661312" behindDoc="1" locked="0" layoutInCell="1" allowOverlap="1" wp14:anchorId="3B08E503" wp14:editId="07777777">
            <wp:simplePos x="0" y="0"/>
            <wp:positionH relativeFrom="column">
              <wp:posOffset>13970</wp:posOffset>
            </wp:positionH>
            <wp:positionV relativeFrom="paragraph">
              <wp:posOffset>10795</wp:posOffset>
            </wp:positionV>
            <wp:extent cx="3591981" cy="2695575"/>
            <wp:effectExtent l="0" t="0" r="8890" b="0"/>
            <wp:wrapTight wrapText="bothSides">
              <wp:wrapPolygon edited="0">
                <wp:start x="0" y="0"/>
                <wp:lineTo x="0" y="21371"/>
                <wp:lineTo x="21539" y="21371"/>
                <wp:lineTo x="21539" y="0"/>
                <wp:lineTo x="0" y="0"/>
              </wp:wrapPolygon>
            </wp:wrapTight>
            <wp:docPr id="9" name="Picture 20" descr="C:\Users\pah1y18\AppData\Local\Microsoft\Windows\INetCache\Content.Outlook\GOCHC49O\IMG_0313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h1y18\AppData\Local\Microsoft\Windows\INetCache\Content.Outlook\GOCHC49O\IMG_0313 (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1981"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FB">
        <w:t xml:space="preserve">Working in the field the use of the test stand may not be practicable, </w:t>
      </w:r>
      <w:r w:rsidR="00972E3B">
        <w:t xml:space="preserve">for in situ sampling </w:t>
      </w:r>
      <w:r w:rsidR="00B95AFB">
        <w:t>in handheld use</w:t>
      </w:r>
      <w:r w:rsidR="006F7C0A">
        <w:t>,</w:t>
      </w:r>
      <w:r w:rsidR="00B95AFB">
        <w:t xml:space="preserve"> a Radiation Controlled Area must be setup, </w:t>
      </w:r>
      <w:r>
        <w:t>as shown in this example.</w:t>
      </w:r>
    </w:p>
    <w:p w14:paraId="44EAFD9C" w14:textId="77777777" w:rsidR="00B95AFB" w:rsidRDefault="00B95AFB" w:rsidP="003B64E9"/>
    <w:p w14:paraId="4B94D5A5" w14:textId="77777777" w:rsidR="00B95AFB" w:rsidRPr="003B64E9" w:rsidRDefault="00B95AFB" w:rsidP="003B64E9"/>
    <w:p w14:paraId="3DEEC669" w14:textId="77777777" w:rsidR="009D63E1" w:rsidRDefault="009D63E1" w:rsidP="003B64E9">
      <w:pPr>
        <w:pStyle w:val="Heading1"/>
      </w:pPr>
    </w:p>
    <w:p w14:paraId="3656B9AB" w14:textId="77777777" w:rsidR="009D63E1" w:rsidRDefault="009D63E1" w:rsidP="003B64E9">
      <w:pPr>
        <w:pStyle w:val="Heading1"/>
      </w:pPr>
    </w:p>
    <w:p w14:paraId="128D26CF" w14:textId="77777777" w:rsidR="003B64E9" w:rsidRDefault="003B64E9" w:rsidP="003B64E9">
      <w:pPr>
        <w:pStyle w:val="Heading1"/>
      </w:pPr>
      <w:r>
        <w:t>What is data is generated?</w:t>
      </w:r>
    </w:p>
    <w:p w14:paraId="45FB0818" w14:textId="77777777" w:rsidR="003B64E9" w:rsidRDefault="003B64E9" w:rsidP="003B64E9"/>
    <w:p w14:paraId="1EC5464B" w14:textId="77777777" w:rsidR="003B64E9" w:rsidRDefault="003B64E9" w:rsidP="003B64E9">
      <w:r>
        <w:t>The instrument quantifies the amount of each element in a sample.</w:t>
      </w:r>
    </w:p>
    <w:p w14:paraId="049F31CB" w14:textId="77777777" w:rsidR="003B64E9" w:rsidRDefault="003B64E9" w:rsidP="003B64E9"/>
    <w:p w14:paraId="3C2B40FC" w14:textId="77777777" w:rsidR="003B64E9" w:rsidRDefault="009D63E1" w:rsidP="003B64E9">
      <w:r w:rsidRPr="00F76ED6">
        <w:rPr>
          <w:noProof/>
        </w:rPr>
        <w:drawing>
          <wp:anchor distT="0" distB="0" distL="114300" distR="114300" simplePos="0" relativeHeight="251662336" behindDoc="1" locked="0" layoutInCell="1" allowOverlap="1" wp14:anchorId="25DB3FA1" wp14:editId="07777777">
            <wp:simplePos x="0" y="0"/>
            <wp:positionH relativeFrom="column">
              <wp:posOffset>1785620</wp:posOffset>
            </wp:positionH>
            <wp:positionV relativeFrom="paragraph">
              <wp:posOffset>12700</wp:posOffset>
            </wp:positionV>
            <wp:extent cx="4248150" cy="3171825"/>
            <wp:effectExtent l="0" t="0" r="0" b="9525"/>
            <wp:wrapTight wrapText="bothSides">
              <wp:wrapPolygon edited="0">
                <wp:start x="0" y="0"/>
                <wp:lineTo x="0" y="21535"/>
                <wp:lineTo x="21503" y="21535"/>
                <wp:lineTo x="21503" y="0"/>
                <wp:lineTo x="0" y="0"/>
              </wp:wrapPolygon>
            </wp:wrapTight>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3B64E9">
        <w:t xml:space="preserve">Therefore you could look at elements of interest for example </w:t>
      </w:r>
      <w:r>
        <w:t>here</w:t>
      </w:r>
      <w:r w:rsidR="003B64E9">
        <w:t xml:space="preserve"> the </w:t>
      </w:r>
      <w:proofErr w:type="spellStart"/>
      <w:r w:rsidR="003B64E9">
        <w:t>Geothite</w:t>
      </w:r>
      <w:proofErr w:type="spellEnd"/>
      <w:r w:rsidR="003B64E9">
        <w:t xml:space="preserve"> limonite is a commercially exploited iron ore, so unsurprisingly has a high iron content, exploiting the other samples for iron mining would not be profitable!</w:t>
      </w:r>
    </w:p>
    <w:p w14:paraId="7E47E608" w14:textId="77777777" w:rsidR="003B64E9" w:rsidRDefault="003B64E9" w:rsidP="003B64E9">
      <w:r>
        <w:t xml:space="preserve">The elemental composition can also be used to provenance samples, the higher calcium content of Soil C suggests its geological setting is more likely to be in Calcium Carbonate rocks such as chalk (a landscape found in the South Downs near Winchester). </w:t>
      </w:r>
    </w:p>
    <w:p w14:paraId="53128261" w14:textId="77777777" w:rsidR="003B64E9" w:rsidRDefault="003B64E9" w:rsidP="003B64E9"/>
    <w:p w14:paraId="62486C05" w14:textId="77777777" w:rsidR="003B64E9" w:rsidRPr="003B64E9" w:rsidRDefault="003B64E9" w:rsidP="003B64E9"/>
    <w:p w14:paraId="370E34FB" w14:textId="77777777" w:rsidR="00062768" w:rsidRDefault="003B64E9" w:rsidP="003B64E9">
      <w:pPr>
        <w:pStyle w:val="Heading1"/>
      </w:pPr>
      <w:r>
        <w:t>Instrument set up</w:t>
      </w:r>
    </w:p>
    <w:p w14:paraId="149478A2" w14:textId="77777777" w:rsidR="003B64E9" w:rsidRDefault="009B21CC" w:rsidP="003B64E9">
      <w:r>
        <w:rPr>
          <w:noProof/>
        </w:rPr>
        <w:drawing>
          <wp:anchor distT="0" distB="0" distL="114300" distR="114300" simplePos="0" relativeHeight="251660288" behindDoc="1" locked="0" layoutInCell="1" allowOverlap="1" wp14:anchorId="0D79427F" wp14:editId="07777777">
            <wp:simplePos x="0" y="0"/>
            <wp:positionH relativeFrom="column">
              <wp:posOffset>-397510</wp:posOffset>
            </wp:positionH>
            <wp:positionV relativeFrom="paragraph">
              <wp:posOffset>490855</wp:posOffset>
            </wp:positionV>
            <wp:extent cx="3190875" cy="2390775"/>
            <wp:effectExtent l="0" t="0" r="0" b="0"/>
            <wp:wrapTight wrapText="bothSides">
              <wp:wrapPolygon edited="0">
                <wp:start x="0" y="21600"/>
                <wp:lineTo x="21536" y="21600"/>
                <wp:lineTo x="21536" y="86"/>
                <wp:lineTo x="0" y="86"/>
                <wp:lineTo x="0" y="2160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319087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4CE95" w14:textId="77777777" w:rsidR="003B64E9" w:rsidRDefault="003B64E9" w:rsidP="003B64E9">
      <w:r>
        <w:t xml:space="preserve">The instrument can report the elemental composition as a % of the total or in </w:t>
      </w:r>
      <w:r w:rsidR="00A73B88">
        <w:t>ppm (mg/kg)</w:t>
      </w:r>
      <w:r w:rsidR="009177E3">
        <w:t>. The amount of each element will be listed together with an error for that element reading. “Bal” refers to balance, the amount of signal the instrument is unable to attribute to an element (</w:t>
      </w:r>
      <w:proofErr w:type="gramStart"/>
      <w:r w:rsidR="009177E3">
        <w:t>Bal</w:t>
      </w:r>
      <w:proofErr w:type="gramEnd"/>
      <w:r w:rsidR="009177E3">
        <w:t xml:space="preserve"> + element readings=100%). It is desirable to get this as low as possible, increasing the duration of analysis is the best way to do this.</w:t>
      </w:r>
    </w:p>
    <w:p w14:paraId="63E736AD" w14:textId="77777777" w:rsidR="009177E3" w:rsidRDefault="009177E3" w:rsidP="003B64E9">
      <w:r>
        <w:t xml:space="preserve">&lt;LOD means less than limit of detection, </w:t>
      </w:r>
      <w:proofErr w:type="spellStart"/>
      <w:r>
        <w:t>Niton</w:t>
      </w:r>
      <w:proofErr w:type="spellEnd"/>
      <w:r>
        <w:t xml:space="preserve"> has figures on this sensitivity of the instrument, below the LOD an element is not detectable by the technology.</w:t>
      </w:r>
      <w:r w:rsidR="00F25B2F">
        <w:t xml:space="preserve"> Independent testing of these limits on topsoil samples has shown broad agreement with manufacturer published LODs (</w:t>
      </w:r>
      <w:proofErr w:type="spellStart"/>
      <w:r w:rsidR="00F25B2F">
        <w:t>Shand</w:t>
      </w:r>
      <w:proofErr w:type="spellEnd"/>
      <w:r w:rsidR="00F25B2F">
        <w:t xml:space="preserve"> and </w:t>
      </w:r>
      <w:proofErr w:type="spellStart"/>
      <w:r w:rsidR="00F25B2F">
        <w:t>Wendler</w:t>
      </w:r>
      <w:proofErr w:type="spellEnd"/>
      <w:r w:rsidR="00F25B2F">
        <w:t xml:space="preserve"> </w:t>
      </w:r>
      <w:proofErr w:type="gramStart"/>
      <w:r w:rsidR="00F25B2F">
        <w:t>2014</w:t>
      </w:r>
      <w:proofErr w:type="gramEnd"/>
      <w:r w:rsidR="00F25B2F">
        <w:t>)</w:t>
      </w:r>
    </w:p>
    <w:p w14:paraId="4101652C" w14:textId="77777777" w:rsidR="003B64E9" w:rsidRDefault="003B64E9" w:rsidP="003B64E9"/>
    <w:p w14:paraId="57EC839C" w14:textId="77777777" w:rsidR="003B64E9" w:rsidRDefault="003B64E9" w:rsidP="003B64E9">
      <w:r>
        <w:t xml:space="preserve">The instrument can work in different modes these will allow you to focus on different </w:t>
      </w:r>
      <w:r w:rsidR="00A73B88">
        <w:t xml:space="preserve">ranges of </w:t>
      </w:r>
      <w:r>
        <w:t>elements</w:t>
      </w:r>
      <w:r w:rsidR="00A73B88">
        <w:t xml:space="preserve">. </w:t>
      </w:r>
      <w:r w:rsidR="009177E3">
        <w:t>See example below:</w:t>
      </w:r>
    </w:p>
    <w:p w14:paraId="4B99056E" w14:textId="77777777" w:rsidR="006D6B26" w:rsidRDefault="006D6B26" w:rsidP="003B64E9"/>
    <w:p w14:paraId="1299C43A" w14:textId="77777777" w:rsidR="006D6B26" w:rsidRDefault="006D6B26" w:rsidP="003B64E9"/>
    <w:p w14:paraId="4DDBEF00" w14:textId="77777777" w:rsidR="006D6B26" w:rsidRDefault="006D6B26" w:rsidP="003B64E9"/>
    <w:p w14:paraId="3461D779" w14:textId="77777777" w:rsidR="006D6B26" w:rsidRDefault="006D6B26" w:rsidP="003B64E9"/>
    <w:p w14:paraId="3CF2D8B6" w14:textId="77777777" w:rsidR="006D6B26" w:rsidRDefault="006D6B26" w:rsidP="003B64E9"/>
    <w:tbl>
      <w:tblPr>
        <w:tblW w:w="7200" w:type="dxa"/>
        <w:tblInd w:w="113" w:type="dxa"/>
        <w:tblLook w:val="04A0" w:firstRow="1" w:lastRow="0" w:firstColumn="1" w:lastColumn="0" w:noHBand="0" w:noVBand="1"/>
      </w:tblPr>
      <w:tblGrid>
        <w:gridCol w:w="1620"/>
        <w:gridCol w:w="1900"/>
        <w:gridCol w:w="1540"/>
        <w:gridCol w:w="2140"/>
      </w:tblGrid>
      <w:tr w:rsidR="009177E3" w:rsidRPr="009177E3" w14:paraId="53023A99" w14:textId="77777777" w:rsidTr="009D63E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AB3EEAD"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Type</w:t>
            </w:r>
          </w:p>
        </w:tc>
        <w:tc>
          <w:tcPr>
            <w:tcW w:w="19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35C4B71"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TestAll</w:t>
            </w:r>
            <w:proofErr w:type="spellEnd"/>
            <w:r w:rsidRPr="009177E3">
              <w:rPr>
                <w:rFonts w:ascii="Calibri" w:hAnsi="Calibri" w:cs="Calibri"/>
                <w:b/>
                <w:bCs/>
                <w:color w:val="000000"/>
                <w:sz w:val="22"/>
                <w:szCs w:val="22"/>
              </w:rPr>
              <w:t xml:space="preserve"> Geo</w:t>
            </w:r>
          </w:p>
        </w:tc>
        <w:tc>
          <w:tcPr>
            <w:tcW w:w="154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4A9F307"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Soil</w:t>
            </w:r>
          </w:p>
        </w:tc>
        <w:tc>
          <w:tcPr>
            <w:tcW w:w="214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7D711C3"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Mining</w:t>
            </w:r>
          </w:p>
        </w:tc>
      </w:tr>
      <w:tr w:rsidR="009177E3" w:rsidRPr="009177E3" w14:paraId="1F594F0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7ED5907" w14:textId="77777777" w:rsidR="009177E3" w:rsidRPr="009177E3" w:rsidRDefault="009177E3" w:rsidP="009177E3">
            <w:pPr>
              <w:spacing w:after="0" w:line="240" w:lineRule="auto"/>
              <w:rPr>
                <w:rFonts w:ascii="Calibri" w:hAnsi="Calibri" w:cs="Calibri"/>
                <w:b/>
                <w:bCs/>
                <w:i/>
                <w:color w:val="000000"/>
                <w:sz w:val="22"/>
                <w:szCs w:val="22"/>
              </w:rPr>
            </w:pPr>
            <w:r w:rsidRPr="009177E3">
              <w:rPr>
                <w:rFonts w:ascii="Calibri" w:hAnsi="Calibri" w:cs="Calibri"/>
                <w:b/>
                <w:bCs/>
                <w:i/>
                <w:color w:val="000000"/>
                <w:sz w:val="22"/>
                <w:szCs w:val="22"/>
              </w:rPr>
              <w:t>Duration</w:t>
            </w:r>
          </w:p>
        </w:tc>
        <w:tc>
          <w:tcPr>
            <w:tcW w:w="1900" w:type="dxa"/>
            <w:tcBorders>
              <w:top w:val="nil"/>
              <w:left w:val="nil"/>
              <w:bottom w:val="single" w:sz="4" w:space="0" w:color="auto"/>
              <w:right w:val="single" w:sz="4" w:space="0" w:color="auto"/>
            </w:tcBorders>
            <w:shd w:val="clear" w:color="auto" w:fill="auto"/>
            <w:noWrap/>
            <w:vAlign w:val="bottom"/>
            <w:hideMark/>
          </w:tcPr>
          <w:p w14:paraId="71A6816C" w14:textId="77777777" w:rsidR="009177E3" w:rsidRPr="009177E3" w:rsidRDefault="009177E3" w:rsidP="009177E3">
            <w:pPr>
              <w:spacing w:after="0" w:line="240" w:lineRule="auto"/>
              <w:jc w:val="right"/>
              <w:rPr>
                <w:rFonts w:ascii="Calibri" w:hAnsi="Calibri" w:cs="Calibri"/>
                <w:i/>
                <w:color w:val="000000"/>
                <w:sz w:val="22"/>
                <w:szCs w:val="22"/>
              </w:rPr>
            </w:pPr>
            <w:r w:rsidRPr="009177E3">
              <w:rPr>
                <w:rFonts w:ascii="Calibri" w:hAnsi="Calibri" w:cs="Calibri"/>
                <w:i/>
                <w:color w:val="000000"/>
                <w:sz w:val="22"/>
                <w:szCs w:val="22"/>
              </w:rPr>
              <w:t>155</w:t>
            </w:r>
          </w:p>
        </w:tc>
        <w:tc>
          <w:tcPr>
            <w:tcW w:w="1540" w:type="dxa"/>
            <w:tcBorders>
              <w:top w:val="nil"/>
              <w:left w:val="nil"/>
              <w:bottom w:val="single" w:sz="4" w:space="0" w:color="auto"/>
              <w:right w:val="single" w:sz="4" w:space="0" w:color="auto"/>
            </w:tcBorders>
            <w:shd w:val="clear" w:color="auto" w:fill="auto"/>
            <w:noWrap/>
            <w:vAlign w:val="bottom"/>
            <w:hideMark/>
          </w:tcPr>
          <w:p w14:paraId="35373424" w14:textId="77777777" w:rsidR="009177E3" w:rsidRPr="009177E3" w:rsidRDefault="009177E3" w:rsidP="009177E3">
            <w:pPr>
              <w:spacing w:after="0" w:line="240" w:lineRule="auto"/>
              <w:jc w:val="right"/>
              <w:rPr>
                <w:rFonts w:ascii="Calibri" w:hAnsi="Calibri" w:cs="Calibri"/>
                <w:i/>
                <w:color w:val="000000"/>
                <w:sz w:val="22"/>
                <w:szCs w:val="22"/>
              </w:rPr>
            </w:pPr>
            <w:r w:rsidRPr="009177E3">
              <w:rPr>
                <w:rFonts w:ascii="Calibri" w:hAnsi="Calibri" w:cs="Calibri"/>
                <w:i/>
                <w:color w:val="000000"/>
                <w:sz w:val="22"/>
                <w:szCs w:val="22"/>
              </w:rPr>
              <w:t>155</w:t>
            </w:r>
          </w:p>
        </w:tc>
        <w:tc>
          <w:tcPr>
            <w:tcW w:w="2140" w:type="dxa"/>
            <w:tcBorders>
              <w:top w:val="nil"/>
              <w:left w:val="nil"/>
              <w:bottom w:val="single" w:sz="4" w:space="0" w:color="auto"/>
              <w:right w:val="single" w:sz="4" w:space="0" w:color="auto"/>
            </w:tcBorders>
            <w:shd w:val="clear" w:color="auto" w:fill="auto"/>
            <w:noWrap/>
            <w:vAlign w:val="bottom"/>
            <w:hideMark/>
          </w:tcPr>
          <w:p w14:paraId="1A7FEACF" w14:textId="77777777" w:rsidR="009177E3" w:rsidRPr="009177E3" w:rsidRDefault="009177E3" w:rsidP="009177E3">
            <w:pPr>
              <w:spacing w:after="0" w:line="240" w:lineRule="auto"/>
              <w:jc w:val="right"/>
              <w:rPr>
                <w:rFonts w:ascii="Calibri" w:hAnsi="Calibri" w:cs="Calibri"/>
                <w:i/>
                <w:color w:val="000000"/>
                <w:sz w:val="22"/>
                <w:szCs w:val="22"/>
              </w:rPr>
            </w:pPr>
            <w:r w:rsidRPr="009177E3">
              <w:rPr>
                <w:rFonts w:ascii="Calibri" w:hAnsi="Calibri" w:cs="Calibri"/>
                <w:i/>
                <w:color w:val="000000"/>
                <w:sz w:val="22"/>
                <w:szCs w:val="22"/>
              </w:rPr>
              <w:t>155</w:t>
            </w:r>
          </w:p>
        </w:tc>
      </w:tr>
      <w:tr w:rsidR="009177E3" w:rsidRPr="009177E3" w14:paraId="325FDE44"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AC1953D" w14:textId="77777777" w:rsidR="009177E3" w:rsidRPr="009177E3" w:rsidRDefault="009177E3" w:rsidP="009177E3">
            <w:pPr>
              <w:spacing w:after="0" w:line="240" w:lineRule="auto"/>
              <w:rPr>
                <w:rFonts w:ascii="Calibri" w:hAnsi="Calibri" w:cs="Calibri"/>
                <w:b/>
                <w:bCs/>
                <w:i/>
                <w:color w:val="000000"/>
                <w:sz w:val="22"/>
                <w:szCs w:val="22"/>
              </w:rPr>
            </w:pPr>
            <w:r w:rsidRPr="009177E3">
              <w:rPr>
                <w:rFonts w:ascii="Calibri" w:hAnsi="Calibri" w:cs="Calibri"/>
                <w:b/>
                <w:bCs/>
                <w:i/>
                <w:color w:val="000000"/>
                <w:sz w:val="22"/>
                <w:szCs w:val="22"/>
              </w:rPr>
              <w:t>Units</w:t>
            </w:r>
          </w:p>
        </w:tc>
        <w:tc>
          <w:tcPr>
            <w:tcW w:w="1900" w:type="dxa"/>
            <w:tcBorders>
              <w:top w:val="nil"/>
              <w:left w:val="nil"/>
              <w:bottom w:val="single" w:sz="4" w:space="0" w:color="auto"/>
              <w:right w:val="single" w:sz="4" w:space="0" w:color="auto"/>
            </w:tcBorders>
            <w:shd w:val="clear" w:color="auto" w:fill="auto"/>
            <w:noWrap/>
            <w:vAlign w:val="bottom"/>
            <w:hideMark/>
          </w:tcPr>
          <w:p w14:paraId="22946A69"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ppm</w:t>
            </w:r>
          </w:p>
        </w:tc>
        <w:tc>
          <w:tcPr>
            <w:tcW w:w="1540" w:type="dxa"/>
            <w:tcBorders>
              <w:top w:val="nil"/>
              <w:left w:val="nil"/>
              <w:bottom w:val="single" w:sz="4" w:space="0" w:color="auto"/>
              <w:right w:val="single" w:sz="4" w:space="0" w:color="auto"/>
            </w:tcBorders>
            <w:shd w:val="clear" w:color="auto" w:fill="auto"/>
            <w:noWrap/>
            <w:vAlign w:val="bottom"/>
            <w:hideMark/>
          </w:tcPr>
          <w:p w14:paraId="6462C093"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w:t>
            </w:r>
          </w:p>
        </w:tc>
        <w:tc>
          <w:tcPr>
            <w:tcW w:w="2140" w:type="dxa"/>
            <w:tcBorders>
              <w:top w:val="nil"/>
              <w:left w:val="nil"/>
              <w:bottom w:val="single" w:sz="4" w:space="0" w:color="auto"/>
              <w:right w:val="single" w:sz="4" w:space="0" w:color="auto"/>
            </w:tcBorders>
            <w:shd w:val="clear" w:color="auto" w:fill="auto"/>
            <w:noWrap/>
            <w:vAlign w:val="bottom"/>
            <w:hideMark/>
          </w:tcPr>
          <w:p w14:paraId="5E50E1C8"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w:t>
            </w:r>
          </w:p>
        </w:tc>
      </w:tr>
      <w:tr w:rsidR="009177E3" w:rsidRPr="009177E3" w14:paraId="685490E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B593B3" w14:textId="77777777" w:rsidR="009177E3" w:rsidRPr="009177E3" w:rsidRDefault="009177E3" w:rsidP="009177E3">
            <w:pPr>
              <w:spacing w:after="0" w:line="240" w:lineRule="auto"/>
              <w:rPr>
                <w:rFonts w:ascii="Calibri" w:hAnsi="Calibri" w:cs="Calibri"/>
                <w:b/>
                <w:bCs/>
                <w:i/>
                <w:color w:val="000000"/>
                <w:sz w:val="22"/>
                <w:szCs w:val="22"/>
              </w:rPr>
            </w:pPr>
            <w:r w:rsidRPr="009177E3">
              <w:rPr>
                <w:rFonts w:ascii="Calibri" w:hAnsi="Calibri" w:cs="Calibri"/>
                <w:b/>
                <w:bCs/>
                <w:i/>
                <w:color w:val="000000"/>
                <w:sz w:val="22"/>
                <w:szCs w:val="22"/>
              </w:rPr>
              <w:t>SAMPLE</w:t>
            </w:r>
          </w:p>
        </w:tc>
        <w:tc>
          <w:tcPr>
            <w:tcW w:w="1900" w:type="dxa"/>
            <w:tcBorders>
              <w:top w:val="nil"/>
              <w:left w:val="nil"/>
              <w:bottom w:val="single" w:sz="4" w:space="0" w:color="auto"/>
              <w:right w:val="single" w:sz="4" w:space="0" w:color="auto"/>
            </w:tcBorders>
            <w:shd w:val="clear" w:color="auto" w:fill="auto"/>
            <w:noWrap/>
            <w:vAlign w:val="bottom"/>
            <w:hideMark/>
          </w:tcPr>
          <w:p w14:paraId="6EB4F72B"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c5 248-250</w:t>
            </w:r>
          </w:p>
        </w:tc>
        <w:tc>
          <w:tcPr>
            <w:tcW w:w="1540" w:type="dxa"/>
            <w:tcBorders>
              <w:top w:val="nil"/>
              <w:left w:val="nil"/>
              <w:bottom w:val="single" w:sz="4" w:space="0" w:color="auto"/>
              <w:right w:val="single" w:sz="4" w:space="0" w:color="auto"/>
            </w:tcBorders>
            <w:shd w:val="clear" w:color="auto" w:fill="auto"/>
            <w:noWrap/>
            <w:vAlign w:val="bottom"/>
            <w:hideMark/>
          </w:tcPr>
          <w:p w14:paraId="384879C6"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c5 248-250</w:t>
            </w:r>
          </w:p>
        </w:tc>
        <w:tc>
          <w:tcPr>
            <w:tcW w:w="2140" w:type="dxa"/>
            <w:tcBorders>
              <w:top w:val="nil"/>
              <w:left w:val="nil"/>
              <w:bottom w:val="single" w:sz="4" w:space="0" w:color="auto"/>
              <w:right w:val="single" w:sz="4" w:space="0" w:color="auto"/>
            </w:tcBorders>
            <w:shd w:val="clear" w:color="auto" w:fill="auto"/>
            <w:noWrap/>
            <w:vAlign w:val="bottom"/>
            <w:hideMark/>
          </w:tcPr>
          <w:p w14:paraId="47E39460"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c5 248-250</w:t>
            </w:r>
          </w:p>
        </w:tc>
      </w:tr>
      <w:tr w:rsidR="009177E3" w:rsidRPr="009177E3" w14:paraId="3B726BA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D4563F3" w14:textId="77777777" w:rsidR="009177E3" w:rsidRPr="009177E3" w:rsidRDefault="009177E3" w:rsidP="009177E3">
            <w:pPr>
              <w:spacing w:after="0" w:line="240" w:lineRule="auto"/>
              <w:rPr>
                <w:rFonts w:ascii="Calibri" w:hAnsi="Calibri" w:cs="Calibri"/>
                <w:b/>
                <w:bCs/>
                <w:i/>
                <w:color w:val="000000"/>
                <w:sz w:val="22"/>
                <w:szCs w:val="22"/>
              </w:rPr>
            </w:pPr>
            <w:r w:rsidRPr="009177E3">
              <w:rPr>
                <w:rFonts w:ascii="Calibri" w:hAnsi="Calibri" w:cs="Calibri"/>
                <w:b/>
                <w:bCs/>
                <w:i/>
                <w:color w:val="000000"/>
                <w:sz w:val="22"/>
                <w:szCs w:val="22"/>
              </w:rPr>
              <w:t>LOCATION</w:t>
            </w:r>
          </w:p>
        </w:tc>
        <w:tc>
          <w:tcPr>
            <w:tcW w:w="1900" w:type="dxa"/>
            <w:tcBorders>
              <w:top w:val="nil"/>
              <w:left w:val="nil"/>
              <w:bottom w:val="single" w:sz="4" w:space="0" w:color="auto"/>
              <w:right w:val="single" w:sz="4" w:space="0" w:color="auto"/>
            </w:tcBorders>
            <w:shd w:val="clear" w:color="auto" w:fill="auto"/>
            <w:noWrap/>
            <w:vAlign w:val="bottom"/>
            <w:hideMark/>
          </w:tcPr>
          <w:p w14:paraId="2ED90B97"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brd17</w:t>
            </w:r>
          </w:p>
        </w:tc>
        <w:tc>
          <w:tcPr>
            <w:tcW w:w="1540" w:type="dxa"/>
            <w:tcBorders>
              <w:top w:val="nil"/>
              <w:left w:val="nil"/>
              <w:bottom w:val="single" w:sz="4" w:space="0" w:color="auto"/>
              <w:right w:val="single" w:sz="4" w:space="0" w:color="auto"/>
            </w:tcBorders>
            <w:shd w:val="clear" w:color="auto" w:fill="auto"/>
            <w:noWrap/>
            <w:vAlign w:val="bottom"/>
            <w:hideMark/>
          </w:tcPr>
          <w:p w14:paraId="6FFCE2A9"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brd17</w:t>
            </w:r>
          </w:p>
        </w:tc>
        <w:tc>
          <w:tcPr>
            <w:tcW w:w="2140" w:type="dxa"/>
            <w:tcBorders>
              <w:top w:val="nil"/>
              <w:left w:val="nil"/>
              <w:bottom w:val="single" w:sz="4" w:space="0" w:color="auto"/>
              <w:right w:val="single" w:sz="4" w:space="0" w:color="auto"/>
            </w:tcBorders>
            <w:shd w:val="clear" w:color="auto" w:fill="auto"/>
            <w:noWrap/>
            <w:vAlign w:val="bottom"/>
            <w:hideMark/>
          </w:tcPr>
          <w:p w14:paraId="54065F4B" w14:textId="77777777" w:rsidR="009177E3" w:rsidRPr="009177E3" w:rsidRDefault="009177E3" w:rsidP="009177E3">
            <w:pPr>
              <w:spacing w:after="0" w:line="240" w:lineRule="auto"/>
              <w:rPr>
                <w:rFonts w:ascii="Calibri" w:hAnsi="Calibri" w:cs="Calibri"/>
                <w:i/>
                <w:color w:val="000000"/>
                <w:sz w:val="22"/>
                <w:szCs w:val="22"/>
              </w:rPr>
            </w:pPr>
            <w:r w:rsidRPr="009177E3">
              <w:rPr>
                <w:rFonts w:ascii="Calibri" w:hAnsi="Calibri" w:cs="Calibri"/>
                <w:i/>
                <w:color w:val="000000"/>
                <w:sz w:val="22"/>
                <w:szCs w:val="22"/>
              </w:rPr>
              <w:t>brd17</w:t>
            </w:r>
          </w:p>
        </w:tc>
      </w:tr>
      <w:tr w:rsidR="009177E3" w:rsidRPr="009177E3" w14:paraId="49BD4C1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686BB4"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Bal</w:t>
            </w:r>
          </w:p>
        </w:tc>
        <w:tc>
          <w:tcPr>
            <w:tcW w:w="1900" w:type="dxa"/>
            <w:tcBorders>
              <w:top w:val="nil"/>
              <w:left w:val="nil"/>
              <w:bottom w:val="single" w:sz="4" w:space="0" w:color="auto"/>
              <w:right w:val="single" w:sz="4" w:space="0" w:color="auto"/>
            </w:tcBorders>
            <w:shd w:val="clear" w:color="auto" w:fill="auto"/>
            <w:noWrap/>
            <w:vAlign w:val="bottom"/>
            <w:hideMark/>
          </w:tcPr>
          <w:p w14:paraId="54EB7BA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962684.81</w:t>
            </w:r>
          </w:p>
        </w:tc>
        <w:tc>
          <w:tcPr>
            <w:tcW w:w="1540" w:type="dxa"/>
            <w:tcBorders>
              <w:top w:val="nil"/>
              <w:left w:val="nil"/>
              <w:bottom w:val="single" w:sz="4" w:space="0" w:color="auto"/>
              <w:right w:val="single" w:sz="4" w:space="0" w:color="auto"/>
            </w:tcBorders>
            <w:shd w:val="clear" w:color="auto" w:fill="auto"/>
            <w:noWrap/>
            <w:vAlign w:val="bottom"/>
            <w:hideMark/>
          </w:tcPr>
          <w:p w14:paraId="6E7BEAA2"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5D6F807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75.615</w:t>
            </w:r>
          </w:p>
        </w:tc>
      </w:tr>
      <w:tr w:rsidR="009177E3" w:rsidRPr="009177E3" w14:paraId="415BB3B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5A1F63"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Bal Error</w:t>
            </w:r>
          </w:p>
        </w:tc>
        <w:tc>
          <w:tcPr>
            <w:tcW w:w="1900" w:type="dxa"/>
            <w:tcBorders>
              <w:top w:val="nil"/>
              <w:left w:val="nil"/>
              <w:bottom w:val="single" w:sz="4" w:space="0" w:color="auto"/>
              <w:right w:val="single" w:sz="4" w:space="0" w:color="auto"/>
            </w:tcBorders>
            <w:shd w:val="clear" w:color="auto" w:fill="auto"/>
            <w:noWrap/>
            <w:vAlign w:val="bottom"/>
            <w:hideMark/>
          </w:tcPr>
          <w:p w14:paraId="7F32C8A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148.38</w:t>
            </w:r>
          </w:p>
        </w:tc>
        <w:tc>
          <w:tcPr>
            <w:tcW w:w="1540" w:type="dxa"/>
            <w:tcBorders>
              <w:top w:val="nil"/>
              <w:left w:val="nil"/>
              <w:bottom w:val="single" w:sz="4" w:space="0" w:color="auto"/>
              <w:right w:val="single" w:sz="4" w:space="0" w:color="auto"/>
            </w:tcBorders>
            <w:shd w:val="clear" w:color="auto" w:fill="auto"/>
            <w:noWrap/>
            <w:vAlign w:val="bottom"/>
            <w:hideMark/>
          </w:tcPr>
          <w:p w14:paraId="63E4A9C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D2E862D"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0.128</w:t>
            </w:r>
          </w:p>
        </w:tc>
      </w:tr>
      <w:tr w:rsidR="009177E3" w:rsidRPr="009177E3" w14:paraId="77DA725F"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E1BCF2E"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Ca</w:t>
            </w:r>
          </w:p>
        </w:tc>
        <w:tc>
          <w:tcPr>
            <w:tcW w:w="1900" w:type="dxa"/>
            <w:tcBorders>
              <w:top w:val="nil"/>
              <w:left w:val="nil"/>
              <w:bottom w:val="single" w:sz="4" w:space="0" w:color="auto"/>
              <w:right w:val="single" w:sz="4" w:space="0" w:color="auto"/>
            </w:tcBorders>
            <w:shd w:val="clear" w:color="auto" w:fill="auto"/>
            <w:noWrap/>
            <w:vAlign w:val="bottom"/>
            <w:hideMark/>
          </w:tcPr>
          <w:p w14:paraId="38BBA93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2047.27</w:t>
            </w:r>
          </w:p>
        </w:tc>
        <w:tc>
          <w:tcPr>
            <w:tcW w:w="1540" w:type="dxa"/>
            <w:tcBorders>
              <w:top w:val="nil"/>
              <w:left w:val="nil"/>
              <w:bottom w:val="single" w:sz="4" w:space="0" w:color="auto"/>
              <w:right w:val="single" w:sz="4" w:space="0" w:color="auto"/>
            </w:tcBorders>
            <w:shd w:val="clear" w:color="auto" w:fill="auto"/>
            <w:noWrap/>
            <w:vAlign w:val="bottom"/>
            <w:hideMark/>
          </w:tcPr>
          <w:p w14:paraId="4F6584BE"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DD95278"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0.201</w:t>
            </w:r>
          </w:p>
        </w:tc>
      </w:tr>
      <w:tr w:rsidR="009177E3" w:rsidRPr="009177E3" w14:paraId="1999C5C2"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8DFD867"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Ca Error</w:t>
            </w:r>
          </w:p>
        </w:tc>
        <w:tc>
          <w:tcPr>
            <w:tcW w:w="1900" w:type="dxa"/>
            <w:tcBorders>
              <w:top w:val="nil"/>
              <w:left w:val="nil"/>
              <w:bottom w:val="single" w:sz="4" w:space="0" w:color="auto"/>
              <w:right w:val="single" w:sz="4" w:space="0" w:color="auto"/>
            </w:tcBorders>
            <w:shd w:val="clear" w:color="auto" w:fill="auto"/>
            <w:noWrap/>
            <w:vAlign w:val="bottom"/>
            <w:hideMark/>
          </w:tcPr>
          <w:p w14:paraId="3469EEA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120.93</w:t>
            </w:r>
          </w:p>
        </w:tc>
        <w:tc>
          <w:tcPr>
            <w:tcW w:w="1540" w:type="dxa"/>
            <w:tcBorders>
              <w:top w:val="nil"/>
              <w:left w:val="nil"/>
              <w:bottom w:val="single" w:sz="4" w:space="0" w:color="auto"/>
              <w:right w:val="single" w:sz="4" w:space="0" w:color="auto"/>
            </w:tcBorders>
            <w:shd w:val="clear" w:color="auto" w:fill="auto"/>
            <w:noWrap/>
            <w:vAlign w:val="bottom"/>
            <w:hideMark/>
          </w:tcPr>
          <w:p w14:paraId="09AF38FC"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A4CD48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0.017</w:t>
            </w:r>
          </w:p>
        </w:tc>
      </w:tr>
      <w:tr w:rsidR="009177E3" w:rsidRPr="009177E3" w14:paraId="65FA3EB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4BFBFDD"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Mg</w:t>
            </w:r>
          </w:p>
        </w:tc>
        <w:tc>
          <w:tcPr>
            <w:tcW w:w="1900" w:type="dxa"/>
            <w:tcBorders>
              <w:top w:val="nil"/>
              <w:left w:val="nil"/>
              <w:bottom w:val="single" w:sz="4" w:space="0" w:color="auto"/>
              <w:right w:val="single" w:sz="4" w:space="0" w:color="auto"/>
            </w:tcBorders>
            <w:shd w:val="clear" w:color="auto" w:fill="auto"/>
            <w:noWrap/>
            <w:vAlign w:val="bottom"/>
            <w:hideMark/>
          </w:tcPr>
          <w:p w14:paraId="15AA318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512BE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EB3382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0.347</w:t>
            </w:r>
          </w:p>
        </w:tc>
      </w:tr>
      <w:tr w:rsidR="009177E3" w:rsidRPr="009177E3" w14:paraId="657407DA"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3DA05AF"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Mg Error</w:t>
            </w:r>
          </w:p>
        </w:tc>
        <w:tc>
          <w:tcPr>
            <w:tcW w:w="1900" w:type="dxa"/>
            <w:tcBorders>
              <w:top w:val="nil"/>
              <w:left w:val="nil"/>
              <w:bottom w:val="single" w:sz="4" w:space="0" w:color="auto"/>
              <w:right w:val="single" w:sz="4" w:space="0" w:color="auto"/>
            </w:tcBorders>
            <w:shd w:val="clear" w:color="auto" w:fill="auto"/>
            <w:noWrap/>
            <w:vAlign w:val="bottom"/>
            <w:hideMark/>
          </w:tcPr>
          <w:p w14:paraId="0DA7063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62417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1071EF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0.16</w:t>
            </w:r>
          </w:p>
        </w:tc>
      </w:tr>
      <w:tr w:rsidR="009177E3" w:rsidRPr="009177E3" w14:paraId="60FACB3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4D1229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Al</w:t>
            </w:r>
          </w:p>
        </w:tc>
        <w:tc>
          <w:tcPr>
            <w:tcW w:w="1900" w:type="dxa"/>
            <w:tcBorders>
              <w:top w:val="nil"/>
              <w:left w:val="nil"/>
              <w:bottom w:val="single" w:sz="4" w:space="0" w:color="auto"/>
              <w:right w:val="single" w:sz="4" w:space="0" w:color="auto"/>
            </w:tcBorders>
            <w:shd w:val="clear" w:color="auto" w:fill="auto"/>
            <w:noWrap/>
            <w:vAlign w:val="bottom"/>
            <w:hideMark/>
          </w:tcPr>
          <w:p w14:paraId="4B8484D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8F56C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5C69C7F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2.21</w:t>
            </w:r>
          </w:p>
        </w:tc>
      </w:tr>
      <w:tr w:rsidR="009177E3" w:rsidRPr="009177E3" w14:paraId="7B61C581"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0EF172"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Al Error</w:t>
            </w:r>
          </w:p>
        </w:tc>
        <w:tc>
          <w:tcPr>
            <w:tcW w:w="1900" w:type="dxa"/>
            <w:tcBorders>
              <w:top w:val="nil"/>
              <w:left w:val="nil"/>
              <w:bottom w:val="single" w:sz="4" w:space="0" w:color="auto"/>
              <w:right w:val="single" w:sz="4" w:space="0" w:color="auto"/>
            </w:tcBorders>
            <w:shd w:val="clear" w:color="auto" w:fill="auto"/>
            <w:noWrap/>
            <w:vAlign w:val="bottom"/>
            <w:hideMark/>
          </w:tcPr>
          <w:p w14:paraId="649CC1F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EF996B"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6E1D3D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0.054</w:t>
            </w:r>
          </w:p>
        </w:tc>
      </w:tr>
      <w:tr w:rsidR="009177E3" w:rsidRPr="009177E3" w14:paraId="59B995A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F57083"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Si</w:t>
            </w:r>
          </w:p>
        </w:tc>
        <w:tc>
          <w:tcPr>
            <w:tcW w:w="1900" w:type="dxa"/>
            <w:tcBorders>
              <w:top w:val="nil"/>
              <w:left w:val="nil"/>
              <w:bottom w:val="single" w:sz="4" w:space="0" w:color="auto"/>
              <w:right w:val="single" w:sz="4" w:space="0" w:color="auto"/>
            </w:tcBorders>
            <w:shd w:val="clear" w:color="auto" w:fill="auto"/>
            <w:noWrap/>
            <w:vAlign w:val="bottom"/>
            <w:hideMark/>
          </w:tcPr>
          <w:p w14:paraId="5E3886A4"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ECEB114"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BA96D0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18.07</w:t>
            </w:r>
          </w:p>
        </w:tc>
      </w:tr>
      <w:tr w:rsidR="009177E3" w:rsidRPr="009177E3" w14:paraId="31B721C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28E11CF"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Si Error</w:t>
            </w:r>
          </w:p>
        </w:tc>
        <w:tc>
          <w:tcPr>
            <w:tcW w:w="1900" w:type="dxa"/>
            <w:tcBorders>
              <w:top w:val="nil"/>
              <w:left w:val="nil"/>
              <w:bottom w:val="single" w:sz="4" w:space="0" w:color="auto"/>
              <w:right w:val="single" w:sz="4" w:space="0" w:color="auto"/>
            </w:tcBorders>
            <w:shd w:val="clear" w:color="auto" w:fill="auto"/>
            <w:noWrap/>
            <w:vAlign w:val="bottom"/>
            <w:hideMark/>
          </w:tcPr>
          <w:p w14:paraId="0D8BF34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DB29A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1B8B606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0.109</w:t>
            </w:r>
          </w:p>
        </w:tc>
      </w:tr>
      <w:tr w:rsidR="009177E3" w:rsidRPr="009177E3" w14:paraId="5855AC93"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9E7D876"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P</w:t>
            </w:r>
          </w:p>
        </w:tc>
        <w:tc>
          <w:tcPr>
            <w:tcW w:w="1900" w:type="dxa"/>
            <w:tcBorders>
              <w:top w:val="nil"/>
              <w:left w:val="nil"/>
              <w:bottom w:val="single" w:sz="4" w:space="0" w:color="auto"/>
              <w:right w:val="single" w:sz="4" w:space="0" w:color="auto"/>
            </w:tcBorders>
            <w:shd w:val="clear" w:color="auto" w:fill="auto"/>
            <w:noWrap/>
            <w:vAlign w:val="bottom"/>
            <w:hideMark/>
          </w:tcPr>
          <w:p w14:paraId="4474F8A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6F60B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1C2F822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0.031</w:t>
            </w:r>
          </w:p>
        </w:tc>
      </w:tr>
      <w:tr w:rsidR="009177E3" w:rsidRPr="009177E3" w14:paraId="63CD9501"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B5AD6E5"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P Error</w:t>
            </w:r>
          </w:p>
        </w:tc>
        <w:tc>
          <w:tcPr>
            <w:tcW w:w="1900" w:type="dxa"/>
            <w:tcBorders>
              <w:top w:val="nil"/>
              <w:left w:val="nil"/>
              <w:bottom w:val="single" w:sz="4" w:space="0" w:color="auto"/>
              <w:right w:val="single" w:sz="4" w:space="0" w:color="auto"/>
            </w:tcBorders>
            <w:shd w:val="clear" w:color="auto" w:fill="auto"/>
            <w:noWrap/>
            <w:vAlign w:val="bottom"/>
            <w:hideMark/>
          </w:tcPr>
          <w:p w14:paraId="1DF8BA61"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5DB19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EF30E7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0.006</w:t>
            </w:r>
          </w:p>
        </w:tc>
      </w:tr>
      <w:tr w:rsidR="009177E3" w:rsidRPr="009177E3" w14:paraId="1B07553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66DDAA3"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w:t>
            </w:r>
          </w:p>
        </w:tc>
        <w:tc>
          <w:tcPr>
            <w:tcW w:w="1900" w:type="dxa"/>
            <w:tcBorders>
              <w:top w:val="nil"/>
              <w:left w:val="nil"/>
              <w:bottom w:val="single" w:sz="4" w:space="0" w:color="auto"/>
              <w:right w:val="single" w:sz="4" w:space="0" w:color="auto"/>
            </w:tcBorders>
            <w:shd w:val="clear" w:color="auto" w:fill="auto"/>
            <w:noWrap/>
            <w:vAlign w:val="bottom"/>
            <w:hideMark/>
          </w:tcPr>
          <w:p w14:paraId="43D5003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107.81</w:t>
            </w:r>
          </w:p>
        </w:tc>
        <w:tc>
          <w:tcPr>
            <w:tcW w:w="1540" w:type="dxa"/>
            <w:tcBorders>
              <w:top w:val="nil"/>
              <w:left w:val="nil"/>
              <w:bottom w:val="single" w:sz="4" w:space="0" w:color="auto"/>
              <w:right w:val="single" w:sz="4" w:space="0" w:color="auto"/>
            </w:tcBorders>
            <w:shd w:val="clear" w:color="auto" w:fill="auto"/>
            <w:noWrap/>
            <w:vAlign w:val="bottom"/>
            <w:hideMark/>
          </w:tcPr>
          <w:p w14:paraId="1D5BCD6B"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85E550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751EF0C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09B67BB"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 Error</w:t>
            </w:r>
          </w:p>
        </w:tc>
        <w:tc>
          <w:tcPr>
            <w:tcW w:w="1900" w:type="dxa"/>
            <w:tcBorders>
              <w:top w:val="nil"/>
              <w:left w:val="nil"/>
              <w:bottom w:val="single" w:sz="4" w:space="0" w:color="auto"/>
              <w:right w:val="single" w:sz="4" w:space="0" w:color="auto"/>
            </w:tcBorders>
            <w:shd w:val="clear" w:color="auto" w:fill="auto"/>
            <w:noWrap/>
            <w:vAlign w:val="bottom"/>
            <w:hideMark/>
          </w:tcPr>
          <w:p w14:paraId="772F226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3.05</w:t>
            </w:r>
          </w:p>
        </w:tc>
        <w:tc>
          <w:tcPr>
            <w:tcW w:w="1540" w:type="dxa"/>
            <w:tcBorders>
              <w:top w:val="nil"/>
              <w:left w:val="nil"/>
              <w:bottom w:val="single" w:sz="4" w:space="0" w:color="auto"/>
              <w:right w:val="single" w:sz="4" w:space="0" w:color="auto"/>
            </w:tcBorders>
            <w:shd w:val="clear" w:color="auto" w:fill="auto"/>
            <w:noWrap/>
            <w:vAlign w:val="bottom"/>
            <w:hideMark/>
          </w:tcPr>
          <w:p w14:paraId="3BC5EC03"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0E8A62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0.003</w:t>
            </w:r>
          </w:p>
        </w:tc>
      </w:tr>
      <w:tr w:rsidR="009177E3" w:rsidRPr="009177E3" w14:paraId="3851922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0D7EB07"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Cl</w:t>
            </w:r>
          </w:p>
        </w:tc>
        <w:tc>
          <w:tcPr>
            <w:tcW w:w="1900" w:type="dxa"/>
            <w:tcBorders>
              <w:top w:val="nil"/>
              <w:left w:val="nil"/>
              <w:bottom w:val="single" w:sz="4" w:space="0" w:color="auto"/>
              <w:right w:val="single" w:sz="4" w:space="0" w:color="auto"/>
            </w:tcBorders>
            <w:shd w:val="clear" w:color="auto" w:fill="auto"/>
            <w:noWrap/>
            <w:vAlign w:val="bottom"/>
            <w:hideMark/>
          </w:tcPr>
          <w:p w14:paraId="3751300F"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F0889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7538C59"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111D212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DD0B9A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Cl Error</w:t>
            </w:r>
          </w:p>
        </w:tc>
        <w:tc>
          <w:tcPr>
            <w:tcW w:w="1900" w:type="dxa"/>
            <w:tcBorders>
              <w:top w:val="nil"/>
              <w:left w:val="nil"/>
              <w:bottom w:val="single" w:sz="4" w:space="0" w:color="auto"/>
              <w:right w:val="single" w:sz="4" w:space="0" w:color="auto"/>
            </w:tcBorders>
            <w:shd w:val="clear" w:color="auto" w:fill="auto"/>
            <w:noWrap/>
            <w:vAlign w:val="bottom"/>
            <w:hideMark/>
          </w:tcPr>
          <w:p w14:paraId="6B515302"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53EF7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B2FBB9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042955FD"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336E69A"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K</w:t>
            </w:r>
          </w:p>
        </w:tc>
        <w:tc>
          <w:tcPr>
            <w:tcW w:w="1900" w:type="dxa"/>
            <w:tcBorders>
              <w:top w:val="nil"/>
              <w:left w:val="nil"/>
              <w:bottom w:val="single" w:sz="4" w:space="0" w:color="auto"/>
              <w:right w:val="single" w:sz="4" w:space="0" w:color="auto"/>
            </w:tcBorders>
            <w:shd w:val="clear" w:color="auto" w:fill="auto"/>
            <w:noWrap/>
            <w:vAlign w:val="bottom"/>
            <w:hideMark/>
          </w:tcPr>
          <w:p w14:paraId="3F797E7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10601.23</w:t>
            </w:r>
          </w:p>
        </w:tc>
        <w:tc>
          <w:tcPr>
            <w:tcW w:w="1540" w:type="dxa"/>
            <w:tcBorders>
              <w:top w:val="nil"/>
              <w:left w:val="nil"/>
              <w:bottom w:val="single" w:sz="4" w:space="0" w:color="auto"/>
              <w:right w:val="single" w:sz="4" w:space="0" w:color="auto"/>
            </w:tcBorders>
            <w:shd w:val="clear" w:color="auto" w:fill="auto"/>
            <w:noWrap/>
            <w:vAlign w:val="bottom"/>
            <w:hideMark/>
          </w:tcPr>
          <w:p w14:paraId="2D6473E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005A1F42"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1.058</w:t>
            </w:r>
          </w:p>
        </w:tc>
      </w:tr>
      <w:tr w:rsidR="009177E3" w:rsidRPr="009177E3" w14:paraId="17277BA4"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E9123DC"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K Error</w:t>
            </w:r>
          </w:p>
        </w:tc>
        <w:tc>
          <w:tcPr>
            <w:tcW w:w="1900" w:type="dxa"/>
            <w:tcBorders>
              <w:top w:val="nil"/>
              <w:left w:val="nil"/>
              <w:bottom w:val="single" w:sz="4" w:space="0" w:color="auto"/>
              <w:right w:val="single" w:sz="4" w:space="0" w:color="auto"/>
            </w:tcBorders>
            <w:shd w:val="clear" w:color="auto" w:fill="auto"/>
            <w:noWrap/>
            <w:vAlign w:val="bottom"/>
            <w:hideMark/>
          </w:tcPr>
          <w:p w14:paraId="2D23BD0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170.45</w:t>
            </w:r>
          </w:p>
        </w:tc>
        <w:tc>
          <w:tcPr>
            <w:tcW w:w="1540" w:type="dxa"/>
            <w:tcBorders>
              <w:top w:val="nil"/>
              <w:left w:val="nil"/>
              <w:bottom w:val="single" w:sz="4" w:space="0" w:color="auto"/>
              <w:right w:val="single" w:sz="4" w:space="0" w:color="auto"/>
            </w:tcBorders>
            <w:shd w:val="clear" w:color="auto" w:fill="auto"/>
            <w:noWrap/>
            <w:vAlign w:val="bottom"/>
            <w:hideMark/>
          </w:tcPr>
          <w:p w14:paraId="696D69FC"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B5741A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0.025</w:t>
            </w:r>
          </w:p>
        </w:tc>
      </w:tr>
      <w:tr w:rsidR="009177E3" w:rsidRPr="009177E3" w14:paraId="7CC770D6"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68D246F"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Ti</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142EA5F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2759.81</w:t>
            </w:r>
          </w:p>
        </w:tc>
        <w:tc>
          <w:tcPr>
            <w:tcW w:w="1540" w:type="dxa"/>
            <w:tcBorders>
              <w:top w:val="nil"/>
              <w:left w:val="nil"/>
              <w:bottom w:val="single" w:sz="4" w:space="0" w:color="auto"/>
              <w:right w:val="single" w:sz="4" w:space="0" w:color="auto"/>
            </w:tcBorders>
            <w:shd w:val="clear" w:color="auto" w:fill="auto"/>
            <w:noWrap/>
            <w:vAlign w:val="bottom"/>
            <w:hideMark/>
          </w:tcPr>
          <w:p w14:paraId="72302A59"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760D71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0.273</w:t>
            </w:r>
          </w:p>
        </w:tc>
      </w:tr>
      <w:tr w:rsidR="009177E3" w:rsidRPr="009177E3" w14:paraId="101A10BB"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D69B72D"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Ti</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3EDD9B3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45.14</w:t>
            </w:r>
          </w:p>
        </w:tc>
        <w:tc>
          <w:tcPr>
            <w:tcW w:w="1540" w:type="dxa"/>
            <w:tcBorders>
              <w:top w:val="nil"/>
              <w:left w:val="nil"/>
              <w:bottom w:val="single" w:sz="4" w:space="0" w:color="auto"/>
              <w:right w:val="single" w:sz="4" w:space="0" w:color="auto"/>
            </w:tcBorders>
            <w:shd w:val="clear" w:color="auto" w:fill="auto"/>
            <w:noWrap/>
            <w:vAlign w:val="bottom"/>
            <w:hideMark/>
          </w:tcPr>
          <w:p w14:paraId="31CBAF0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838D84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0.007</w:t>
            </w:r>
          </w:p>
        </w:tc>
      </w:tr>
      <w:tr w:rsidR="009177E3" w:rsidRPr="009177E3" w14:paraId="061E2FB3"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696C343"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V</w:t>
            </w:r>
          </w:p>
        </w:tc>
        <w:tc>
          <w:tcPr>
            <w:tcW w:w="1900" w:type="dxa"/>
            <w:tcBorders>
              <w:top w:val="nil"/>
              <w:left w:val="nil"/>
              <w:bottom w:val="single" w:sz="4" w:space="0" w:color="auto"/>
              <w:right w:val="single" w:sz="4" w:space="0" w:color="auto"/>
            </w:tcBorders>
            <w:shd w:val="clear" w:color="auto" w:fill="auto"/>
            <w:noWrap/>
            <w:vAlign w:val="bottom"/>
            <w:hideMark/>
          </w:tcPr>
          <w:p w14:paraId="49D785C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46.68</w:t>
            </w:r>
          </w:p>
        </w:tc>
        <w:tc>
          <w:tcPr>
            <w:tcW w:w="1540" w:type="dxa"/>
            <w:tcBorders>
              <w:top w:val="nil"/>
              <w:left w:val="nil"/>
              <w:bottom w:val="single" w:sz="4" w:space="0" w:color="auto"/>
              <w:right w:val="single" w:sz="4" w:space="0" w:color="auto"/>
            </w:tcBorders>
            <w:shd w:val="clear" w:color="auto" w:fill="auto"/>
            <w:noWrap/>
            <w:vAlign w:val="bottom"/>
            <w:hideMark/>
          </w:tcPr>
          <w:p w14:paraId="4A7717C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4CC6F9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0.004</w:t>
            </w:r>
          </w:p>
        </w:tc>
      </w:tr>
      <w:tr w:rsidR="009177E3" w:rsidRPr="009177E3" w14:paraId="22641FB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21261DF"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V Error</w:t>
            </w:r>
          </w:p>
        </w:tc>
        <w:tc>
          <w:tcPr>
            <w:tcW w:w="1900" w:type="dxa"/>
            <w:tcBorders>
              <w:top w:val="nil"/>
              <w:left w:val="nil"/>
              <w:bottom w:val="single" w:sz="4" w:space="0" w:color="auto"/>
              <w:right w:val="single" w:sz="4" w:space="0" w:color="auto"/>
            </w:tcBorders>
            <w:shd w:val="clear" w:color="auto" w:fill="auto"/>
            <w:noWrap/>
            <w:vAlign w:val="bottom"/>
            <w:hideMark/>
          </w:tcPr>
          <w:p w14:paraId="76FA2D8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11.99</w:t>
            </w:r>
          </w:p>
        </w:tc>
        <w:tc>
          <w:tcPr>
            <w:tcW w:w="1540" w:type="dxa"/>
            <w:tcBorders>
              <w:top w:val="nil"/>
              <w:left w:val="nil"/>
              <w:bottom w:val="single" w:sz="4" w:space="0" w:color="auto"/>
              <w:right w:val="single" w:sz="4" w:space="0" w:color="auto"/>
            </w:tcBorders>
            <w:shd w:val="clear" w:color="auto" w:fill="auto"/>
            <w:noWrap/>
            <w:vAlign w:val="bottom"/>
            <w:hideMark/>
          </w:tcPr>
          <w:p w14:paraId="419A23A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5D7064D8"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044036D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AD2AB1D"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Cr</w:t>
            </w:r>
          </w:p>
        </w:tc>
        <w:tc>
          <w:tcPr>
            <w:tcW w:w="1900" w:type="dxa"/>
            <w:tcBorders>
              <w:top w:val="nil"/>
              <w:left w:val="nil"/>
              <w:bottom w:val="single" w:sz="4" w:space="0" w:color="auto"/>
              <w:right w:val="single" w:sz="4" w:space="0" w:color="auto"/>
            </w:tcBorders>
            <w:shd w:val="clear" w:color="auto" w:fill="auto"/>
            <w:noWrap/>
            <w:vAlign w:val="bottom"/>
            <w:hideMark/>
          </w:tcPr>
          <w:p w14:paraId="26F8E9D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58.49</w:t>
            </w:r>
          </w:p>
        </w:tc>
        <w:tc>
          <w:tcPr>
            <w:tcW w:w="1540" w:type="dxa"/>
            <w:tcBorders>
              <w:top w:val="nil"/>
              <w:left w:val="nil"/>
              <w:bottom w:val="single" w:sz="4" w:space="0" w:color="auto"/>
              <w:right w:val="single" w:sz="4" w:space="0" w:color="auto"/>
            </w:tcBorders>
            <w:shd w:val="clear" w:color="auto" w:fill="auto"/>
            <w:noWrap/>
            <w:vAlign w:val="bottom"/>
            <w:hideMark/>
          </w:tcPr>
          <w:p w14:paraId="74536B0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AFAB2F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0.006</w:t>
            </w:r>
          </w:p>
        </w:tc>
      </w:tr>
      <w:tr w:rsidR="009177E3" w:rsidRPr="009177E3" w14:paraId="31DE7D69"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CDBD9BB"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Cr Error</w:t>
            </w:r>
          </w:p>
        </w:tc>
        <w:tc>
          <w:tcPr>
            <w:tcW w:w="1900" w:type="dxa"/>
            <w:tcBorders>
              <w:top w:val="nil"/>
              <w:left w:val="nil"/>
              <w:bottom w:val="single" w:sz="4" w:space="0" w:color="auto"/>
              <w:right w:val="single" w:sz="4" w:space="0" w:color="auto"/>
            </w:tcBorders>
            <w:shd w:val="clear" w:color="auto" w:fill="auto"/>
            <w:noWrap/>
            <w:vAlign w:val="bottom"/>
            <w:hideMark/>
          </w:tcPr>
          <w:p w14:paraId="3AA8CF2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8.63</w:t>
            </w:r>
          </w:p>
        </w:tc>
        <w:tc>
          <w:tcPr>
            <w:tcW w:w="1540" w:type="dxa"/>
            <w:tcBorders>
              <w:top w:val="nil"/>
              <w:left w:val="nil"/>
              <w:bottom w:val="single" w:sz="4" w:space="0" w:color="auto"/>
              <w:right w:val="single" w:sz="4" w:space="0" w:color="auto"/>
            </w:tcBorders>
            <w:shd w:val="clear" w:color="auto" w:fill="auto"/>
            <w:noWrap/>
            <w:vAlign w:val="bottom"/>
            <w:hideMark/>
          </w:tcPr>
          <w:p w14:paraId="7D7A3EC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30CA47C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r>
      <w:tr w:rsidR="009177E3" w:rsidRPr="009177E3" w14:paraId="5A1F7A3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D27384B"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Mn</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100EDEF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652.76</w:t>
            </w:r>
          </w:p>
        </w:tc>
        <w:tc>
          <w:tcPr>
            <w:tcW w:w="1540" w:type="dxa"/>
            <w:tcBorders>
              <w:top w:val="nil"/>
              <w:left w:val="nil"/>
              <w:bottom w:val="single" w:sz="4" w:space="0" w:color="auto"/>
              <w:right w:val="single" w:sz="4" w:space="0" w:color="auto"/>
            </w:tcBorders>
            <w:shd w:val="clear" w:color="auto" w:fill="auto"/>
            <w:noWrap/>
            <w:vAlign w:val="bottom"/>
            <w:hideMark/>
          </w:tcPr>
          <w:p w14:paraId="717BEC3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0.067</w:t>
            </w:r>
          </w:p>
        </w:tc>
        <w:tc>
          <w:tcPr>
            <w:tcW w:w="2140" w:type="dxa"/>
            <w:tcBorders>
              <w:top w:val="nil"/>
              <w:left w:val="nil"/>
              <w:bottom w:val="single" w:sz="4" w:space="0" w:color="auto"/>
              <w:right w:val="single" w:sz="4" w:space="0" w:color="auto"/>
            </w:tcBorders>
            <w:shd w:val="clear" w:color="auto" w:fill="auto"/>
            <w:noWrap/>
            <w:vAlign w:val="bottom"/>
            <w:hideMark/>
          </w:tcPr>
          <w:p w14:paraId="2BDDB20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0.072</w:t>
            </w:r>
          </w:p>
        </w:tc>
      </w:tr>
      <w:tr w:rsidR="009177E3" w:rsidRPr="009177E3" w14:paraId="1A4779C3"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1C7E3C2"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Mn</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6A96B1B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36.26</w:t>
            </w:r>
          </w:p>
        </w:tc>
        <w:tc>
          <w:tcPr>
            <w:tcW w:w="1540" w:type="dxa"/>
            <w:tcBorders>
              <w:top w:val="nil"/>
              <w:left w:val="nil"/>
              <w:bottom w:val="single" w:sz="4" w:space="0" w:color="auto"/>
              <w:right w:val="single" w:sz="4" w:space="0" w:color="auto"/>
            </w:tcBorders>
            <w:shd w:val="clear" w:color="auto" w:fill="auto"/>
            <w:noWrap/>
            <w:vAlign w:val="bottom"/>
            <w:hideMark/>
          </w:tcPr>
          <w:p w14:paraId="15AA659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c>
          <w:tcPr>
            <w:tcW w:w="2140" w:type="dxa"/>
            <w:tcBorders>
              <w:top w:val="nil"/>
              <w:left w:val="nil"/>
              <w:bottom w:val="single" w:sz="4" w:space="0" w:color="auto"/>
              <w:right w:val="single" w:sz="4" w:space="0" w:color="auto"/>
            </w:tcBorders>
            <w:shd w:val="clear" w:color="auto" w:fill="auto"/>
            <w:noWrap/>
            <w:vAlign w:val="bottom"/>
            <w:hideMark/>
          </w:tcPr>
          <w:p w14:paraId="122D536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0.008</w:t>
            </w:r>
          </w:p>
        </w:tc>
      </w:tr>
      <w:tr w:rsidR="009177E3" w:rsidRPr="009177E3" w14:paraId="4476E074"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DD8762B"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Fe</w:t>
            </w:r>
          </w:p>
        </w:tc>
        <w:tc>
          <w:tcPr>
            <w:tcW w:w="1900" w:type="dxa"/>
            <w:tcBorders>
              <w:top w:val="nil"/>
              <w:left w:val="nil"/>
              <w:bottom w:val="single" w:sz="4" w:space="0" w:color="auto"/>
              <w:right w:val="single" w:sz="4" w:space="0" w:color="auto"/>
            </w:tcBorders>
            <w:shd w:val="clear" w:color="auto" w:fill="auto"/>
            <w:noWrap/>
            <w:vAlign w:val="bottom"/>
            <w:hideMark/>
          </w:tcPr>
          <w:p w14:paraId="7D8DADD8"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20474.11</w:t>
            </w:r>
          </w:p>
        </w:tc>
        <w:tc>
          <w:tcPr>
            <w:tcW w:w="1540" w:type="dxa"/>
            <w:tcBorders>
              <w:top w:val="nil"/>
              <w:left w:val="nil"/>
              <w:bottom w:val="single" w:sz="4" w:space="0" w:color="auto"/>
              <w:right w:val="single" w:sz="4" w:space="0" w:color="auto"/>
            </w:tcBorders>
            <w:shd w:val="clear" w:color="auto" w:fill="auto"/>
            <w:noWrap/>
            <w:vAlign w:val="bottom"/>
            <w:hideMark/>
          </w:tcPr>
          <w:p w14:paraId="721EF8D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1.571</w:t>
            </w:r>
          </w:p>
        </w:tc>
        <w:tc>
          <w:tcPr>
            <w:tcW w:w="2140" w:type="dxa"/>
            <w:tcBorders>
              <w:top w:val="nil"/>
              <w:left w:val="nil"/>
              <w:bottom w:val="single" w:sz="4" w:space="0" w:color="auto"/>
              <w:right w:val="single" w:sz="4" w:space="0" w:color="auto"/>
            </w:tcBorders>
            <w:shd w:val="clear" w:color="auto" w:fill="auto"/>
            <w:noWrap/>
            <w:vAlign w:val="bottom"/>
            <w:hideMark/>
          </w:tcPr>
          <w:p w14:paraId="76BF7A8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2.049</w:t>
            </w:r>
          </w:p>
        </w:tc>
      </w:tr>
      <w:tr w:rsidR="009177E3" w:rsidRPr="009177E3" w14:paraId="4B278CA9"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AEFD4D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Fe Error</w:t>
            </w:r>
          </w:p>
        </w:tc>
        <w:tc>
          <w:tcPr>
            <w:tcW w:w="1900" w:type="dxa"/>
            <w:tcBorders>
              <w:top w:val="nil"/>
              <w:left w:val="nil"/>
              <w:bottom w:val="single" w:sz="4" w:space="0" w:color="auto"/>
              <w:right w:val="single" w:sz="4" w:space="0" w:color="auto"/>
            </w:tcBorders>
            <w:shd w:val="clear" w:color="auto" w:fill="auto"/>
            <w:noWrap/>
            <w:vAlign w:val="bottom"/>
            <w:hideMark/>
          </w:tcPr>
          <w:p w14:paraId="3982F7D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157.38</w:t>
            </w:r>
          </w:p>
        </w:tc>
        <w:tc>
          <w:tcPr>
            <w:tcW w:w="1540" w:type="dxa"/>
            <w:tcBorders>
              <w:top w:val="nil"/>
              <w:left w:val="nil"/>
              <w:bottom w:val="single" w:sz="4" w:space="0" w:color="auto"/>
              <w:right w:val="single" w:sz="4" w:space="0" w:color="auto"/>
            </w:tcBorders>
            <w:shd w:val="clear" w:color="auto" w:fill="auto"/>
            <w:noWrap/>
            <w:vAlign w:val="bottom"/>
            <w:hideMark/>
          </w:tcPr>
          <w:p w14:paraId="494CF19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0.007</w:t>
            </w:r>
          </w:p>
        </w:tc>
        <w:tc>
          <w:tcPr>
            <w:tcW w:w="2140" w:type="dxa"/>
            <w:tcBorders>
              <w:top w:val="nil"/>
              <w:left w:val="nil"/>
              <w:bottom w:val="single" w:sz="4" w:space="0" w:color="auto"/>
              <w:right w:val="single" w:sz="4" w:space="0" w:color="auto"/>
            </w:tcBorders>
            <w:shd w:val="clear" w:color="auto" w:fill="auto"/>
            <w:noWrap/>
            <w:vAlign w:val="bottom"/>
            <w:hideMark/>
          </w:tcPr>
          <w:p w14:paraId="2C7071E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0.024</w:t>
            </w:r>
          </w:p>
        </w:tc>
      </w:tr>
      <w:tr w:rsidR="009177E3" w:rsidRPr="009177E3" w14:paraId="7A45F17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662580B"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Co</w:t>
            </w:r>
          </w:p>
        </w:tc>
        <w:tc>
          <w:tcPr>
            <w:tcW w:w="1900" w:type="dxa"/>
            <w:tcBorders>
              <w:top w:val="nil"/>
              <w:left w:val="nil"/>
              <w:bottom w:val="single" w:sz="4" w:space="0" w:color="auto"/>
              <w:right w:val="single" w:sz="4" w:space="0" w:color="auto"/>
            </w:tcBorders>
            <w:shd w:val="clear" w:color="auto" w:fill="auto"/>
            <w:noWrap/>
            <w:vAlign w:val="bottom"/>
            <w:hideMark/>
          </w:tcPr>
          <w:p w14:paraId="6F7E905F"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5136ED7B"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2140" w:type="dxa"/>
            <w:tcBorders>
              <w:top w:val="nil"/>
              <w:left w:val="nil"/>
              <w:bottom w:val="single" w:sz="4" w:space="0" w:color="auto"/>
              <w:right w:val="single" w:sz="4" w:space="0" w:color="auto"/>
            </w:tcBorders>
            <w:shd w:val="clear" w:color="auto" w:fill="auto"/>
            <w:noWrap/>
            <w:vAlign w:val="bottom"/>
            <w:hideMark/>
          </w:tcPr>
          <w:p w14:paraId="629EEB09"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12F3D3BF"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E2E0F4C"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Co Error</w:t>
            </w:r>
          </w:p>
        </w:tc>
        <w:tc>
          <w:tcPr>
            <w:tcW w:w="1900" w:type="dxa"/>
            <w:tcBorders>
              <w:top w:val="nil"/>
              <w:left w:val="nil"/>
              <w:bottom w:val="single" w:sz="4" w:space="0" w:color="auto"/>
              <w:right w:val="single" w:sz="4" w:space="0" w:color="auto"/>
            </w:tcBorders>
            <w:shd w:val="clear" w:color="auto" w:fill="auto"/>
            <w:noWrap/>
            <w:vAlign w:val="bottom"/>
            <w:hideMark/>
          </w:tcPr>
          <w:p w14:paraId="5498171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61.5</w:t>
            </w:r>
          </w:p>
        </w:tc>
        <w:tc>
          <w:tcPr>
            <w:tcW w:w="1540" w:type="dxa"/>
            <w:tcBorders>
              <w:top w:val="nil"/>
              <w:left w:val="nil"/>
              <w:bottom w:val="single" w:sz="4" w:space="0" w:color="auto"/>
              <w:right w:val="single" w:sz="4" w:space="0" w:color="auto"/>
            </w:tcBorders>
            <w:shd w:val="clear" w:color="auto" w:fill="auto"/>
            <w:noWrap/>
            <w:vAlign w:val="bottom"/>
            <w:hideMark/>
          </w:tcPr>
          <w:p w14:paraId="7C59085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0.004</w:t>
            </w:r>
          </w:p>
        </w:tc>
        <w:tc>
          <w:tcPr>
            <w:tcW w:w="2140" w:type="dxa"/>
            <w:tcBorders>
              <w:top w:val="nil"/>
              <w:left w:val="nil"/>
              <w:bottom w:val="single" w:sz="4" w:space="0" w:color="auto"/>
              <w:right w:val="single" w:sz="4" w:space="0" w:color="auto"/>
            </w:tcBorders>
            <w:shd w:val="clear" w:color="auto" w:fill="auto"/>
            <w:noWrap/>
            <w:vAlign w:val="bottom"/>
            <w:hideMark/>
          </w:tcPr>
          <w:p w14:paraId="62C87088"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0.01</w:t>
            </w:r>
          </w:p>
        </w:tc>
      </w:tr>
      <w:tr w:rsidR="009177E3" w:rsidRPr="009177E3" w14:paraId="43D3394F"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727BDD4"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Ni</w:t>
            </w:r>
          </w:p>
        </w:tc>
        <w:tc>
          <w:tcPr>
            <w:tcW w:w="1900" w:type="dxa"/>
            <w:tcBorders>
              <w:top w:val="nil"/>
              <w:left w:val="nil"/>
              <w:bottom w:val="single" w:sz="4" w:space="0" w:color="auto"/>
              <w:right w:val="single" w:sz="4" w:space="0" w:color="auto"/>
            </w:tcBorders>
            <w:shd w:val="clear" w:color="auto" w:fill="auto"/>
            <w:noWrap/>
            <w:vAlign w:val="bottom"/>
            <w:hideMark/>
          </w:tcPr>
          <w:p w14:paraId="79F7167D"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35.43</w:t>
            </w:r>
          </w:p>
        </w:tc>
        <w:tc>
          <w:tcPr>
            <w:tcW w:w="1540" w:type="dxa"/>
            <w:tcBorders>
              <w:top w:val="nil"/>
              <w:left w:val="nil"/>
              <w:bottom w:val="single" w:sz="4" w:space="0" w:color="auto"/>
              <w:right w:val="single" w:sz="4" w:space="0" w:color="auto"/>
            </w:tcBorders>
            <w:shd w:val="clear" w:color="auto" w:fill="auto"/>
            <w:noWrap/>
            <w:vAlign w:val="bottom"/>
            <w:hideMark/>
          </w:tcPr>
          <w:p w14:paraId="5A64F77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0.003</w:t>
            </w:r>
          </w:p>
        </w:tc>
        <w:tc>
          <w:tcPr>
            <w:tcW w:w="2140" w:type="dxa"/>
            <w:tcBorders>
              <w:top w:val="nil"/>
              <w:left w:val="nil"/>
              <w:bottom w:val="single" w:sz="4" w:space="0" w:color="auto"/>
              <w:right w:val="single" w:sz="4" w:space="0" w:color="auto"/>
            </w:tcBorders>
            <w:shd w:val="clear" w:color="auto" w:fill="auto"/>
            <w:noWrap/>
            <w:vAlign w:val="bottom"/>
            <w:hideMark/>
          </w:tcPr>
          <w:p w14:paraId="22AF385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64166846"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1F4F148"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Ni Error</w:t>
            </w:r>
          </w:p>
        </w:tc>
        <w:tc>
          <w:tcPr>
            <w:tcW w:w="1900" w:type="dxa"/>
            <w:tcBorders>
              <w:top w:val="nil"/>
              <w:left w:val="nil"/>
              <w:bottom w:val="single" w:sz="4" w:space="0" w:color="auto"/>
              <w:right w:val="single" w:sz="4" w:space="0" w:color="auto"/>
            </w:tcBorders>
            <w:shd w:val="clear" w:color="auto" w:fill="auto"/>
            <w:noWrap/>
            <w:vAlign w:val="bottom"/>
            <w:hideMark/>
          </w:tcPr>
          <w:p w14:paraId="1E55132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11.97</w:t>
            </w:r>
          </w:p>
        </w:tc>
        <w:tc>
          <w:tcPr>
            <w:tcW w:w="1540" w:type="dxa"/>
            <w:tcBorders>
              <w:top w:val="nil"/>
              <w:left w:val="nil"/>
              <w:bottom w:val="single" w:sz="4" w:space="0" w:color="auto"/>
              <w:right w:val="single" w:sz="4" w:space="0" w:color="auto"/>
            </w:tcBorders>
            <w:shd w:val="clear" w:color="auto" w:fill="auto"/>
            <w:noWrap/>
            <w:vAlign w:val="bottom"/>
            <w:hideMark/>
          </w:tcPr>
          <w:p w14:paraId="28540DC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c>
          <w:tcPr>
            <w:tcW w:w="2140" w:type="dxa"/>
            <w:tcBorders>
              <w:top w:val="nil"/>
              <w:left w:val="nil"/>
              <w:bottom w:val="single" w:sz="4" w:space="0" w:color="auto"/>
              <w:right w:val="single" w:sz="4" w:space="0" w:color="auto"/>
            </w:tcBorders>
            <w:shd w:val="clear" w:color="auto" w:fill="auto"/>
            <w:noWrap/>
            <w:vAlign w:val="bottom"/>
            <w:hideMark/>
          </w:tcPr>
          <w:p w14:paraId="40B76DD2"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0.004</w:t>
            </w:r>
          </w:p>
        </w:tc>
      </w:tr>
      <w:tr w:rsidR="009177E3" w:rsidRPr="009177E3" w14:paraId="292A0E7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D5BDC94"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Cu</w:t>
            </w:r>
          </w:p>
        </w:tc>
        <w:tc>
          <w:tcPr>
            <w:tcW w:w="1900" w:type="dxa"/>
            <w:tcBorders>
              <w:top w:val="nil"/>
              <w:left w:val="nil"/>
              <w:bottom w:val="single" w:sz="4" w:space="0" w:color="auto"/>
              <w:right w:val="single" w:sz="4" w:space="0" w:color="auto"/>
            </w:tcBorders>
            <w:shd w:val="clear" w:color="auto" w:fill="auto"/>
            <w:noWrap/>
            <w:vAlign w:val="bottom"/>
            <w:hideMark/>
          </w:tcPr>
          <w:p w14:paraId="5399814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21.86</w:t>
            </w:r>
          </w:p>
        </w:tc>
        <w:tc>
          <w:tcPr>
            <w:tcW w:w="1540" w:type="dxa"/>
            <w:tcBorders>
              <w:top w:val="nil"/>
              <w:left w:val="nil"/>
              <w:bottom w:val="single" w:sz="4" w:space="0" w:color="auto"/>
              <w:right w:val="single" w:sz="4" w:space="0" w:color="auto"/>
            </w:tcBorders>
            <w:shd w:val="clear" w:color="auto" w:fill="auto"/>
            <w:noWrap/>
            <w:vAlign w:val="bottom"/>
            <w:hideMark/>
          </w:tcPr>
          <w:p w14:paraId="5844F62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c>
          <w:tcPr>
            <w:tcW w:w="2140" w:type="dxa"/>
            <w:tcBorders>
              <w:top w:val="nil"/>
              <w:left w:val="nil"/>
              <w:bottom w:val="single" w:sz="4" w:space="0" w:color="auto"/>
              <w:right w:val="single" w:sz="4" w:space="0" w:color="auto"/>
            </w:tcBorders>
            <w:shd w:val="clear" w:color="auto" w:fill="auto"/>
            <w:noWrap/>
            <w:vAlign w:val="bottom"/>
            <w:hideMark/>
          </w:tcPr>
          <w:p w14:paraId="129C278E"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15C1D99A"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51704D"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Cu Error</w:t>
            </w:r>
          </w:p>
        </w:tc>
        <w:tc>
          <w:tcPr>
            <w:tcW w:w="1900" w:type="dxa"/>
            <w:tcBorders>
              <w:top w:val="nil"/>
              <w:left w:val="nil"/>
              <w:bottom w:val="single" w:sz="4" w:space="0" w:color="auto"/>
              <w:right w:val="single" w:sz="4" w:space="0" w:color="auto"/>
            </w:tcBorders>
            <w:shd w:val="clear" w:color="auto" w:fill="auto"/>
            <w:noWrap/>
            <w:vAlign w:val="bottom"/>
            <w:hideMark/>
          </w:tcPr>
          <w:p w14:paraId="450971E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7.09</w:t>
            </w:r>
          </w:p>
        </w:tc>
        <w:tc>
          <w:tcPr>
            <w:tcW w:w="1540" w:type="dxa"/>
            <w:tcBorders>
              <w:top w:val="nil"/>
              <w:left w:val="nil"/>
              <w:bottom w:val="single" w:sz="4" w:space="0" w:color="auto"/>
              <w:right w:val="single" w:sz="4" w:space="0" w:color="auto"/>
            </w:tcBorders>
            <w:shd w:val="clear" w:color="auto" w:fill="auto"/>
            <w:noWrap/>
            <w:vAlign w:val="bottom"/>
            <w:hideMark/>
          </w:tcPr>
          <w:p w14:paraId="4B58431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2790C8A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26D175D4"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8EC211F"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Zn</w:t>
            </w:r>
          </w:p>
        </w:tc>
        <w:tc>
          <w:tcPr>
            <w:tcW w:w="1900" w:type="dxa"/>
            <w:tcBorders>
              <w:top w:val="nil"/>
              <w:left w:val="nil"/>
              <w:bottom w:val="single" w:sz="4" w:space="0" w:color="auto"/>
              <w:right w:val="single" w:sz="4" w:space="0" w:color="auto"/>
            </w:tcBorders>
            <w:shd w:val="clear" w:color="auto" w:fill="auto"/>
            <w:noWrap/>
            <w:vAlign w:val="bottom"/>
            <w:hideMark/>
          </w:tcPr>
          <w:p w14:paraId="0E9B05F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38.25</w:t>
            </w:r>
          </w:p>
        </w:tc>
        <w:tc>
          <w:tcPr>
            <w:tcW w:w="1540" w:type="dxa"/>
            <w:tcBorders>
              <w:top w:val="nil"/>
              <w:left w:val="nil"/>
              <w:bottom w:val="single" w:sz="4" w:space="0" w:color="auto"/>
              <w:right w:val="single" w:sz="4" w:space="0" w:color="auto"/>
            </w:tcBorders>
            <w:shd w:val="clear" w:color="auto" w:fill="auto"/>
            <w:noWrap/>
            <w:vAlign w:val="bottom"/>
            <w:hideMark/>
          </w:tcPr>
          <w:p w14:paraId="697F2AD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0.003</w:t>
            </w:r>
          </w:p>
        </w:tc>
        <w:tc>
          <w:tcPr>
            <w:tcW w:w="2140" w:type="dxa"/>
            <w:tcBorders>
              <w:top w:val="nil"/>
              <w:left w:val="nil"/>
              <w:bottom w:val="single" w:sz="4" w:space="0" w:color="auto"/>
              <w:right w:val="single" w:sz="4" w:space="0" w:color="auto"/>
            </w:tcBorders>
            <w:shd w:val="clear" w:color="auto" w:fill="auto"/>
            <w:noWrap/>
            <w:vAlign w:val="bottom"/>
            <w:hideMark/>
          </w:tcPr>
          <w:p w14:paraId="6ECDD213"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73C2A8B6"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78751C6"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Zn Error</w:t>
            </w:r>
          </w:p>
        </w:tc>
        <w:tc>
          <w:tcPr>
            <w:tcW w:w="1900" w:type="dxa"/>
            <w:tcBorders>
              <w:top w:val="nil"/>
              <w:left w:val="nil"/>
              <w:bottom w:val="single" w:sz="4" w:space="0" w:color="auto"/>
              <w:right w:val="single" w:sz="4" w:space="0" w:color="auto"/>
            </w:tcBorders>
            <w:shd w:val="clear" w:color="auto" w:fill="auto"/>
            <w:noWrap/>
            <w:vAlign w:val="bottom"/>
            <w:hideMark/>
          </w:tcPr>
          <w:p w14:paraId="1A98086B"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4.61</w:t>
            </w:r>
          </w:p>
        </w:tc>
        <w:tc>
          <w:tcPr>
            <w:tcW w:w="1540" w:type="dxa"/>
            <w:tcBorders>
              <w:top w:val="nil"/>
              <w:left w:val="nil"/>
              <w:bottom w:val="single" w:sz="4" w:space="0" w:color="auto"/>
              <w:right w:val="single" w:sz="4" w:space="0" w:color="auto"/>
            </w:tcBorders>
            <w:shd w:val="clear" w:color="auto" w:fill="auto"/>
            <w:noWrap/>
            <w:vAlign w:val="bottom"/>
            <w:hideMark/>
          </w:tcPr>
          <w:p w14:paraId="2322F00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71CA3204"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7202CD2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02BE22B"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As</w:t>
            </w:r>
          </w:p>
        </w:tc>
        <w:tc>
          <w:tcPr>
            <w:tcW w:w="1900" w:type="dxa"/>
            <w:tcBorders>
              <w:top w:val="nil"/>
              <w:left w:val="nil"/>
              <w:bottom w:val="single" w:sz="4" w:space="0" w:color="auto"/>
              <w:right w:val="single" w:sz="4" w:space="0" w:color="auto"/>
            </w:tcBorders>
            <w:shd w:val="clear" w:color="auto" w:fill="auto"/>
            <w:noWrap/>
            <w:vAlign w:val="bottom"/>
            <w:hideMark/>
          </w:tcPr>
          <w:p w14:paraId="71FCACF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4.89</w:t>
            </w:r>
          </w:p>
        </w:tc>
        <w:tc>
          <w:tcPr>
            <w:tcW w:w="1540" w:type="dxa"/>
            <w:tcBorders>
              <w:top w:val="nil"/>
              <w:left w:val="nil"/>
              <w:bottom w:val="single" w:sz="4" w:space="0" w:color="auto"/>
              <w:right w:val="single" w:sz="4" w:space="0" w:color="auto"/>
            </w:tcBorders>
            <w:shd w:val="clear" w:color="auto" w:fill="auto"/>
            <w:noWrap/>
            <w:vAlign w:val="bottom"/>
            <w:hideMark/>
          </w:tcPr>
          <w:p w14:paraId="7B7EFE02"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3F40226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1C72C62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F7B35A0"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As Error</w:t>
            </w:r>
          </w:p>
        </w:tc>
        <w:tc>
          <w:tcPr>
            <w:tcW w:w="1900" w:type="dxa"/>
            <w:tcBorders>
              <w:top w:val="nil"/>
              <w:left w:val="nil"/>
              <w:bottom w:val="single" w:sz="4" w:space="0" w:color="auto"/>
              <w:right w:val="single" w:sz="4" w:space="0" w:color="auto"/>
            </w:tcBorders>
            <w:shd w:val="clear" w:color="auto" w:fill="auto"/>
            <w:noWrap/>
            <w:vAlign w:val="bottom"/>
            <w:hideMark/>
          </w:tcPr>
          <w:p w14:paraId="3CA49CCB"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2.08</w:t>
            </w:r>
          </w:p>
        </w:tc>
        <w:tc>
          <w:tcPr>
            <w:tcW w:w="1540" w:type="dxa"/>
            <w:tcBorders>
              <w:top w:val="nil"/>
              <w:left w:val="nil"/>
              <w:bottom w:val="single" w:sz="4" w:space="0" w:color="auto"/>
              <w:right w:val="single" w:sz="4" w:space="0" w:color="auto"/>
            </w:tcBorders>
            <w:shd w:val="clear" w:color="auto" w:fill="auto"/>
            <w:noWrap/>
            <w:vAlign w:val="bottom"/>
            <w:hideMark/>
          </w:tcPr>
          <w:p w14:paraId="3311358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7A0371E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37E7D87F"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982F61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Se</w:t>
            </w:r>
          </w:p>
        </w:tc>
        <w:tc>
          <w:tcPr>
            <w:tcW w:w="1900" w:type="dxa"/>
            <w:tcBorders>
              <w:top w:val="nil"/>
              <w:left w:val="nil"/>
              <w:bottom w:val="single" w:sz="4" w:space="0" w:color="auto"/>
              <w:right w:val="single" w:sz="4" w:space="0" w:color="auto"/>
            </w:tcBorders>
            <w:shd w:val="clear" w:color="auto" w:fill="auto"/>
            <w:noWrap/>
            <w:vAlign w:val="bottom"/>
            <w:hideMark/>
          </w:tcPr>
          <w:p w14:paraId="2BEDA75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5531F93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51B41292"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19C02D7F"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3C65234"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Se Error</w:t>
            </w:r>
          </w:p>
        </w:tc>
        <w:tc>
          <w:tcPr>
            <w:tcW w:w="1900" w:type="dxa"/>
            <w:tcBorders>
              <w:top w:val="nil"/>
              <w:left w:val="nil"/>
              <w:bottom w:val="single" w:sz="4" w:space="0" w:color="auto"/>
              <w:right w:val="single" w:sz="4" w:space="0" w:color="auto"/>
            </w:tcBorders>
            <w:shd w:val="clear" w:color="auto" w:fill="auto"/>
            <w:noWrap/>
            <w:vAlign w:val="bottom"/>
            <w:hideMark/>
          </w:tcPr>
          <w:p w14:paraId="2D1DA82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2.17</w:t>
            </w:r>
          </w:p>
        </w:tc>
        <w:tc>
          <w:tcPr>
            <w:tcW w:w="1540" w:type="dxa"/>
            <w:tcBorders>
              <w:top w:val="nil"/>
              <w:left w:val="nil"/>
              <w:bottom w:val="single" w:sz="4" w:space="0" w:color="auto"/>
              <w:right w:val="single" w:sz="4" w:space="0" w:color="auto"/>
            </w:tcBorders>
            <w:shd w:val="clear" w:color="auto" w:fill="auto"/>
            <w:noWrap/>
            <w:vAlign w:val="bottom"/>
            <w:hideMark/>
          </w:tcPr>
          <w:p w14:paraId="0213FF8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088F424D"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04AAE41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4595133"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Rb</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2DC26B7B"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48.29</w:t>
            </w:r>
          </w:p>
        </w:tc>
        <w:tc>
          <w:tcPr>
            <w:tcW w:w="1540" w:type="dxa"/>
            <w:tcBorders>
              <w:top w:val="nil"/>
              <w:left w:val="nil"/>
              <w:bottom w:val="single" w:sz="4" w:space="0" w:color="auto"/>
              <w:right w:val="single" w:sz="4" w:space="0" w:color="auto"/>
            </w:tcBorders>
            <w:shd w:val="clear" w:color="auto" w:fill="auto"/>
            <w:noWrap/>
            <w:vAlign w:val="bottom"/>
            <w:hideMark/>
          </w:tcPr>
          <w:p w14:paraId="38E6202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0.004</w:t>
            </w:r>
          </w:p>
        </w:tc>
        <w:tc>
          <w:tcPr>
            <w:tcW w:w="2140" w:type="dxa"/>
            <w:tcBorders>
              <w:top w:val="nil"/>
              <w:left w:val="nil"/>
              <w:bottom w:val="single" w:sz="4" w:space="0" w:color="auto"/>
              <w:right w:val="single" w:sz="4" w:space="0" w:color="auto"/>
            </w:tcBorders>
            <w:shd w:val="clear" w:color="auto" w:fill="auto"/>
            <w:noWrap/>
            <w:vAlign w:val="bottom"/>
            <w:hideMark/>
          </w:tcPr>
          <w:p w14:paraId="2563463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0.005</w:t>
            </w:r>
          </w:p>
        </w:tc>
      </w:tr>
      <w:tr w:rsidR="009177E3" w:rsidRPr="009177E3" w14:paraId="2EEA776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0CDB758"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Rb</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2C4CEFD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1.71</w:t>
            </w:r>
          </w:p>
        </w:tc>
        <w:tc>
          <w:tcPr>
            <w:tcW w:w="1540" w:type="dxa"/>
            <w:tcBorders>
              <w:top w:val="nil"/>
              <w:left w:val="nil"/>
              <w:bottom w:val="single" w:sz="4" w:space="0" w:color="auto"/>
              <w:right w:val="single" w:sz="4" w:space="0" w:color="auto"/>
            </w:tcBorders>
            <w:shd w:val="clear" w:color="auto" w:fill="auto"/>
            <w:noWrap/>
            <w:vAlign w:val="bottom"/>
            <w:hideMark/>
          </w:tcPr>
          <w:p w14:paraId="370D6AA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12681B2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r>
      <w:tr w:rsidR="009177E3" w:rsidRPr="009177E3" w14:paraId="017CAA9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A7DB10"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Sr</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4831A5FB"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41.77</w:t>
            </w:r>
          </w:p>
        </w:tc>
        <w:tc>
          <w:tcPr>
            <w:tcW w:w="1540" w:type="dxa"/>
            <w:tcBorders>
              <w:top w:val="nil"/>
              <w:left w:val="nil"/>
              <w:bottom w:val="single" w:sz="4" w:space="0" w:color="auto"/>
              <w:right w:val="single" w:sz="4" w:space="0" w:color="auto"/>
            </w:tcBorders>
            <w:shd w:val="clear" w:color="auto" w:fill="auto"/>
            <w:noWrap/>
            <w:vAlign w:val="bottom"/>
            <w:hideMark/>
          </w:tcPr>
          <w:p w14:paraId="33220178"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0.004</w:t>
            </w:r>
          </w:p>
        </w:tc>
        <w:tc>
          <w:tcPr>
            <w:tcW w:w="2140" w:type="dxa"/>
            <w:tcBorders>
              <w:top w:val="nil"/>
              <w:left w:val="nil"/>
              <w:bottom w:val="single" w:sz="4" w:space="0" w:color="auto"/>
              <w:right w:val="single" w:sz="4" w:space="0" w:color="auto"/>
            </w:tcBorders>
            <w:shd w:val="clear" w:color="auto" w:fill="auto"/>
            <w:noWrap/>
            <w:vAlign w:val="bottom"/>
            <w:hideMark/>
          </w:tcPr>
          <w:p w14:paraId="16076078"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0.004</w:t>
            </w:r>
          </w:p>
        </w:tc>
      </w:tr>
      <w:tr w:rsidR="009177E3" w:rsidRPr="009177E3" w14:paraId="43643F6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DB4C69B"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Sr</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72785BB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1.45</w:t>
            </w:r>
          </w:p>
        </w:tc>
        <w:tc>
          <w:tcPr>
            <w:tcW w:w="1540" w:type="dxa"/>
            <w:tcBorders>
              <w:top w:val="nil"/>
              <w:left w:val="nil"/>
              <w:bottom w:val="single" w:sz="4" w:space="0" w:color="auto"/>
              <w:right w:val="single" w:sz="4" w:space="0" w:color="auto"/>
            </w:tcBorders>
            <w:shd w:val="clear" w:color="auto" w:fill="auto"/>
            <w:noWrap/>
            <w:vAlign w:val="bottom"/>
            <w:hideMark/>
          </w:tcPr>
          <w:p w14:paraId="05F7728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56E2F5E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r>
      <w:tr w:rsidR="009177E3" w:rsidRPr="009177E3" w14:paraId="4844093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84DB160"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Zr</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3A2117C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222.99</w:t>
            </w:r>
          </w:p>
        </w:tc>
        <w:tc>
          <w:tcPr>
            <w:tcW w:w="1540" w:type="dxa"/>
            <w:tcBorders>
              <w:top w:val="nil"/>
              <w:left w:val="nil"/>
              <w:bottom w:val="single" w:sz="4" w:space="0" w:color="auto"/>
              <w:right w:val="single" w:sz="4" w:space="0" w:color="auto"/>
            </w:tcBorders>
            <w:shd w:val="clear" w:color="auto" w:fill="auto"/>
            <w:noWrap/>
            <w:vAlign w:val="bottom"/>
            <w:hideMark/>
          </w:tcPr>
          <w:p w14:paraId="1A5FF878"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0.022</w:t>
            </w:r>
          </w:p>
        </w:tc>
        <w:tc>
          <w:tcPr>
            <w:tcW w:w="2140" w:type="dxa"/>
            <w:tcBorders>
              <w:top w:val="nil"/>
              <w:left w:val="nil"/>
              <w:bottom w:val="single" w:sz="4" w:space="0" w:color="auto"/>
              <w:right w:val="single" w:sz="4" w:space="0" w:color="auto"/>
            </w:tcBorders>
            <w:shd w:val="clear" w:color="auto" w:fill="auto"/>
            <w:noWrap/>
            <w:vAlign w:val="bottom"/>
            <w:hideMark/>
          </w:tcPr>
          <w:p w14:paraId="2159E0D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0.021</w:t>
            </w:r>
          </w:p>
        </w:tc>
      </w:tr>
      <w:tr w:rsidR="009177E3" w:rsidRPr="009177E3" w14:paraId="79C14F25"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AD4DDED"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Zr</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24E8177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3.03</w:t>
            </w:r>
          </w:p>
        </w:tc>
        <w:tc>
          <w:tcPr>
            <w:tcW w:w="1540" w:type="dxa"/>
            <w:tcBorders>
              <w:top w:val="nil"/>
              <w:left w:val="nil"/>
              <w:bottom w:val="single" w:sz="4" w:space="0" w:color="auto"/>
              <w:right w:val="single" w:sz="4" w:space="0" w:color="auto"/>
            </w:tcBorders>
            <w:shd w:val="clear" w:color="auto" w:fill="auto"/>
            <w:noWrap/>
            <w:vAlign w:val="bottom"/>
            <w:hideMark/>
          </w:tcPr>
          <w:p w14:paraId="3D22F59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100153D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r>
      <w:tr w:rsidR="009177E3" w:rsidRPr="009177E3" w14:paraId="1751BF1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32A82D1"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Nb</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003055B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7.76</w:t>
            </w:r>
          </w:p>
        </w:tc>
        <w:tc>
          <w:tcPr>
            <w:tcW w:w="1540" w:type="dxa"/>
            <w:tcBorders>
              <w:top w:val="nil"/>
              <w:left w:val="nil"/>
              <w:bottom w:val="single" w:sz="4" w:space="0" w:color="auto"/>
              <w:right w:val="single" w:sz="4" w:space="0" w:color="auto"/>
            </w:tcBorders>
            <w:shd w:val="clear" w:color="auto" w:fill="auto"/>
            <w:noWrap/>
            <w:vAlign w:val="bottom"/>
            <w:hideMark/>
          </w:tcPr>
          <w:p w14:paraId="6D71D07C"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0C6D1BB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33EE366D"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60BBCAF"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Nb</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37212DD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1.35</w:t>
            </w:r>
          </w:p>
        </w:tc>
        <w:tc>
          <w:tcPr>
            <w:tcW w:w="1540" w:type="dxa"/>
            <w:tcBorders>
              <w:top w:val="nil"/>
              <w:left w:val="nil"/>
              <w:bottom w:val="single" w:sz="4" w:space="0" w:color="auto"/>
              <w:right w:val="single" w:sz="4" w:space="0" w:color="auto"/>
            </w:tcBorders>
            <w:shd w:val="clear" w:color="auto" w:fill="auto"/>
            <w:noWrap/>
            <w:vAlign w:val="bottom"/>
            <w:hideMark/>
          </w:tcPr>
          <w:p w14:paraId="64AD8D14"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4CB5C6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5353C199"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B782EB5"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Mo</w:t>
            </w:r>
          </w:p>
        </w:tc>
        <w:tc>
          <w:tcPr>
            <w:tcW w:w="1900" w:type="dxa"/>
            <w:tcBorders>
              <w:top w:val="nil"/>
              <w:left w:val="nil"/>
              <w:bottom w:val="single" w:sz="4" w:space="0" w:color="auto"/>
              <w:right w:val="single" w:sz="4" w:space="0" w:color="auto"/>
            </w:tcBorders>
            <w:shd w:val="clear" w:color="auto" w:fill="auto"/>
            <w:noWrap/>
            <w:vAlign w:val="bottom"/>
            <w:hideMark/>
          </w:tcPr>
          <w:p w14:paraId="3503399F"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449BDFF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2140" w:type="dxa"/>
            <w:tcBorders>
              <w:top w:val="nil"/>
              <w:left w:val="nil"/>
              <w:bottom w:val="single" w:sz="4" w:space="0" w:color="auto"/>
              <w:right w:val="single" w:sz="4" w:space="0" w:color="auto"/>
            </w:tcBorders>
            <w:shd w:val="clear" w:color="auto" w:fill="auto"/>
            <w:noWrap/>
            <w:vAlign w:val="bottom"/>
            <w:hideMark/>
          </w:tcPr>
          <w:p w14:paraId="21B1F20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4E7C280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8A60ED"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Mo Error</w:t>
            </w:r>
          </w:p>
        </w:tc>
        <w:tc>
          <w:tcPr>
            <w:tcW w:w="1900" w:type="dxa"/>
            <w:tcBorders>
              <w:top w:val="nil"/>
              <w:left w:val="nil"/>
              <w:bottom w:val="single" w:sz="4" w:space="0" w:color="auto"/>
              <w:right w:val="single" w:sz="4" w:space="0" w:color="auto"/>
            </w:tcBorders>
            <w:shd w:val="clear" w:color="auto" w:fill="auto"/>
            <w:noWrap/>
            <w:vAlign w:val="bottom"/>
            <w:hideMark/>
          </w:tcPr>
          <w:p w14:paraId="06BF4A2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2.45</w:t>
            </w:r>
          </w:p>
        </w:tc>
        <w:tc>
          <w:tcPr>
            <w:tcW w:w="1540" w:type="dxa"/>
            <w:tcBorders>
              <w:top w:val="nil"/>
              <w:left w:val="nil"/>
              <w:bottom w:val="single" w:sz="4" w:space="0" w:color="auto"/>
              <w:right w:val="single" w:sz="4" w:space="0" w:color="auto"/>
            </w:tcBorders>
            <w:shd w:val="clear" w:color="auto" w:fill="auto"/>
            <w:noWrap/>
            <w:vAlign w:val="bottom"/>
            <w:hideMark/>
          </w:tcPr>
          <w:p w14:paraId="56C6262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158AB97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1F23E369"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BB27FC3"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Pd</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6E9FC81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0.94</w:t>
            </w:r>
          </w:p>
        </w:tc>
        <w:tc>
          <w:tcPr>
            <w:tcW w:w="1540" w:type="dxa"/>
            <w:tcBorders>
              <w:top w:val="nil"/>
              <w:left w:val="nil"/>
              <w:bottom w:val="single" w:sz="4" w:space="0" w:color="auto"/>
              <w:right w:val="single" w:sz="4" w:space="0" w:color="auto"/>
            </w:tcBorders>
            <w:shd w:val="clear" w:color="auto" w:fill="auto"/>
            <w:noWrap/>
            <w:vAlign w:val="bottom"/>
            <w:hideMark/>
          </w:tcPr>
          <w:p w14:paraId="4A58656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DBFE1F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00CAA8D9"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59A61B0"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Pd</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62DFC435"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0.33</w:t>
            </w:r>
          </w:p>
        </w:tc>
        <w:tc>
          <w:tcPr>
            <w:tcW w:w="1540" w:type="dxa"/>
            <w:tcBorders>
              <w:top w:val="nil"/>
              <w:left w:val="nil"/>
              <w:bottom w:val="single" w:sz="4" w:space="0" w:color="auto"/>
              <w:right w:val="single" w:sz="4" w:space="0" w:color="auto"/>
            </w:tcBorders>
            <w:shd w:val="clear" w:color="auto" w:fill="auto"/>
            <w:noWrap/>
            <w:vAlign w:val="bottom"/>
            <w:hideMark/>
          </w:tcPr>
          <w:p w14:paraId="1721E54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17BB0B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3FB93300"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A8B2C8"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Ag</w:t>
            </w:r>
          </w:p>
        </w:tc>
        <w:tc>
          <w:tcPr>
            <w:tcW w:w="1900" w:type="dxa"/>
            <w:tcBorders>
              <w:top w:val="nil"/>
              <w:left w:val="nil"/>
              <w:bottom w:val="single" w:sz="4" w:space="0" w:color="auto"/>
              <w:right w:val="single" w:sz="4" w:space="0" w:color="auto"/>
            </w:tcBorders>
            <w:shd w:val="clear" w:color="auto" w:fill="auto"/>
            <w:noWrap/>
            <w:vAlign w:val="bottom"/>
            <w:hideMark/>
          </w:tcPr>
          <w:p w14:paraId="32E9BE6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3DD1135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3B5645B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3C789539"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4ADC282"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Ag Error</w:t>
            </w:r>
          </w:p>
        </w:tc>
        <w:tc>
          <w:tcPr>
            <w:tcW w:w="1900" w:type="dxa"/>
            <w:tcBorders>
              <w:top w:val="nil"/>
              <w:left w:val="nil"/>
              <w:bottom w:val="single" w:sz="4" w:space="0" w:color="auto"/>
              <w:right w:val="single" w:sz="4" w:space="0" w:color="auto"/>
            </w:tcBorders>
            <w:shd w:val="clear" w:color="auto" w:fill="auto"/>
            <w:noWrap/>
            <w:vAlign w:val="bottom"/>
            <w:hideMark/>
          </w:tcPr>
          <w:p w14:paraId="699CBE8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0.27</w:t>
            </w:r>
          </w:p>
        </w:tc>
        <w:tc>
          <w:tcPr>
            <w:tcW w:w="1540" w:type="dxa"/>
            <w:tcBorders>
              <w:top w:val="nil"/>
              <w:left w:val="nil"/>
              <w:bottom w:val="single" w:sz="4" w:space="0" w:color="auto"/>
              <w:right w:val="single" w:sz="4" w:space="0" w:color="auto"/>
            </w:tcBorders>
            <w:shd w:val="clear" w:color="auto" w:fill="auto"/>
            <w:noWrap/>
            <w:vAlign w:val="bottom"/>
            <w:hideMark/>
          </w:tcPr>
          <w:p w14:paraId="0236E82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3F3647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430E0230"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6472458"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Cd</w:t>
            </w:r>
          </w:p>
        </w:tc>
        <w:tc>
          <w:tcPr>
            <w:tcW w:w="1900" w:type="dxa"/>
            <w:tcBorders>
              <w:top w:val="nil"/>
              <w:left w:val="nil"/>
              <w:bottom w:val="single" w:sz="4" w:space="0" w:color="auto"/>
              <w:right w:val="single" w:sz="4" w:space="0" w:color="auto"/>
            </w:tcBorders>
            <w:shd w:val="clear" w:color="auto" w:fill="auto"/>
            <w:noWrap/>
            <w:vAlign w:val="bottom"/>
            <w:hideMark/>
          </w:tcPr>
          <w:p w14:paraId="76D8D12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94824.45</w:t>
            </w:r>
          </w:p>
        </w:tc>
        <w:tc>
          <w:tcPr>
            <w:tcW w:w="1540" w:type="dxa"/>
            <w:tcBorders>
              <w:top w:val="nil"/>
              <w:left w:val="nil"/>
              <w:bottom w:val="single" w:sz="4" w:space="0" w:color="auto"/>
              <w:right w:val="single" w:sz="4" w:space="0" w:color="auto"/>
            </w:tcBorders>
            <w:shd w:val="clear" w:color="auto" w:fill="auto"/>
            <w:noWrap/>
            <w:vAlign w:val="bottom"/>
            <w:hideMark/>
          </w:tcPr>
          <w:p w14:paraId="7ADA28FF"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ECAAFE1"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53F467F6"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BCBA8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Cd Error</w:t>
            </w:r>
          </w:p>
        </w:tc>
        <w:tc>
          <w:tcPr>
            <w:tcW w:w="1900" w:type="dxa"/>
            <w:tcBorders>
              <w:top w:val="nil"/>
              <w:left w:val="nil"/>
              <w:bottom w:val="single" w:sz="4" w:space="0" w:color="auto"/>
              <w:right w:val="single" w:sz="4" w:space="0" w:color="auto"/>
            </w:tcBorders>
            <w:shd w:val="clear" w:color="auto" w:fill="auto"/>
            <w:noWrap/>
            <w:vAlign w:val="bottom"/>
            <w:hideMark/>
          </w:tcPr>
          <w:p w14:paraId="3E46733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29.23</w:t>
            </w:r>
          </w:p>
        </w:tc>
        <w:tc>
          <w:tcPr>
            <w:tcW w:w="1540" w:type="dxa"/>
            <w:tcBorders>
              <w:top w:val="nil"/>
              <w:left w:val="nil"/>
              <w:bottom w:val="single" w:sz="4" w:space="0" w:color="auto"/>
              <w:right w:val="single" w:sz="4" w:space="0" w:color="auto"/>
            </w:tcBorders>
            <w:shd w:val="clear" w:color="auto" w:fill="auto"/>
            <w:noWrap/>
            <w:vAlign w:val="bottom"/>
            <w:hideMark/>
          </w:tcPr>
          <w:p w14:paraId="12673AC1"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EC1995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0FD233F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7E46F0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Sn</w:t>
            </w:r>
          </w:p>
        </w:tc>
        <w:tc>
          <w:tcPr>
            <w:tcW w:w="1900" w:type="dxa"/>
            <w:tcBorders>
              <w:top w:val="nil"/>
              <w:left w:val="nil"/>
              <w:bottom w:val="single" w:sz="4" w:space="0" w:color="auto"/>
              <w:right w:val="single" w:sz="4" w:space="0" w:color="auto"/>
            </w:tcBorders>
            <w:shd w:val="clear" w:color="auto" w:fill="auto"/>
            <w:noWrap/>
            <w:vAlign w:val="bottom"/>
            <w:hideMark/>
          </w:tcPr>
          <w:p w14:paraId="7AA5430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2C6BD88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0FB22DA9"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39D0AA8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22E88F6"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Sn Error</w:t>
            </w:r>
          </w:p>
        </w:tc>
        <w:tc>
          <w:tcPr>
            <w:tcW w:w="1900" w:type="dxa"/>
            <w:tcBorders>
              <w:top w:val="nil"/>
              <w:left w:val="nil"/>
              <w:bottom w:val="single" w:sz="4" w:space="0" w:color="auto"/>
              <w:right w:val="single" w:sz="4" w:space="0" w:color="auto"/>
            </w:tcBorders>
            <w:shd w:val="clear" w:color="auto" w:fill="auto"/>
            <w:noWrap/>
            <w:vAlign w:val="bottom"/>
            <w:hideMark/>
          </w:tcPr>
          <w:p w14:paraId="4C88A2F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0.56</w:t>
            </w:r>
          </w:p>
        </w:tc>
        <w:tc>
          <w:tcPr>
            <w:tcW w:w="1540" w:type="dxa"/>
            <w:tcBorders>
              <w:top w:val="nil"/>
              <w:left w:val="nil"/>
              <w:bottom w:val="single" w:sz="4" w:space="0" w:color="auto"/>
              <w:right w:val="single" w:sz="4" w:space="0" w:color="auto"/>
            </w:tcBorders>
            <w:shd w:val="clear" w:color="auto" w:fill="auto"/>
            <w:noWrap/>
            <w:vAlign w:val="bottom"/>
            <w:hideMark/>
          </w:tcPr>
          <w:p w14:paraId="5561E1DE"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15FE85E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7523FE6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8E41FA"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Sb</w:t>
            </w:r>
          </w:p>
        </w:tc>
        <w:tc>
          <w:tcPr>
            <w:tcW w:w="1900" w:type="dxa"/>
            <w:tcBorders>
              <w:top w:val="nil"/>
              <w:left w:val="nil"/>
              <w:bottom w:val="single" w:sz="4" w:space="0" w:color="auto"/>
              <w:right w:val="single" w:sz="4" w:space="0" w:color="auto"/>
            </w:tcBorders>
            <w:shd w:val="clear" w:color="auto" w:fill="auto"/>
            <w:noWrap/>
            <w:vAlign w:val="bottom"/>
            <w:hideMark/>
          </w:tcPr>
          <w:p w14:paraId="2032A96B"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48D3F40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19B127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75A446A0"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F8F8E48"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Sb Error</w:t>
            </w:r>
          </w:p>
        </w:tc>
        <w:tc>
          <w:tcPr>
            <w:tcW w:w="1900" w:type="dxa"/>
            <w:tcBorders>
              <w:top w:val="nil"/>
              <w:left w:val="nil"/>
              <w:bottom w:val="single" w:sz="4" w:space="0" w:color="auto"/>
              <w:right w:val="single" w:sz="4" w:space="0" w:color="auto"/>
            </w:tcBorders>
            <w:shd w:val="clear" w:color="auto" w:fill="auto"/>
            <w:noWrap/>
            <w:vAlign w:val="bottom"/>
            <w:hideMark/>
          </w:tcPr>
          <w:p w14:paraId="3A04403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0.46</w:t>
            </w:r>
          </w:p>
        </w:tc>
        <w:tc>
          <w:tcPr>
            <w:tcW w:w="1540" w:type="dxa"/>
            <w:tcBorders>
              <w:top w:val="nil"/>
              <w:left w:val="nil"/>
              <w:bottom w:val="single" w:sz="4" w:space="0" w:color="auto"/>
              <w:right w:val="single" w:sz="4" w:space="0" w:color="auto"/>
            </w:tcBorders>
            <w:shd w:val="clear" w:color="auto" w:fill="auto"/>
            <w:noWrap/>
            <w:vAlign w:val="bottom"/>
            <w:hideMark/>
          </w:tcPr>
          <w:p w14:paraId="222CCC41"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6DE700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0.003</w:t>
            </w:r>
          </w:p>
        </w:tc>
      </w:tr>
      <w:tr w:rsidR="009177E3" w:rsidRPr="009177E3" w14:paraId="7A9CACD1"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51C5BBA"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Ba</w:t>
            </w:r>
          </w:p>
        </w:tc>
        <w:tc>
          <w:tcPr>
            <w:tcW w:w="1900" w:type="dxa"/>
            <w:tcBorders>
              <w:top w:val="nil"/>
              <w:left w:val="nil"/>
              <w:bottom w:val="single" w:sz="4" w:space="0" w:color="auto"/>
              <w:right w:val="single" w:sz="4" w:space="0" w:color="auto"/>
            </w:tcBorders>
            <w:shd w:val="clear" w:color="auto" w:fill="auto"/>
            <w:noWrap/>
            <w:vAlign w:val="bottom"/>
            <w:hideMark/>
          </w:tcPr>
          <w:p w14:paraId="6E09DAB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313.06</w:t>
            </w:r>
          </w:p>
        </w:tc>
        <w:tc>
          <w:tcPr>
            <w:tcW w:w="1540" w:type="dxa"/>
            <w:tcBorders>
              <w:top w:val="nil"/>
              <w:left w:val="nil"/>
              <w:bottom w:val="single" w:sz="4" w:space="0" w:color="auto"/>
              <w:right w:val="single" w:sz="4" w:space="0" w:color="auto"/>
            </w:tcBorders>
            <w:shd w:val="clear" w:color="auto" w:fill="auto"/>
            <w:noWrap/>
            <w:vAlign w:val="bottom"/>
            <w:hideMark/>
          </w:tcPr>
          <w:p w14:paraId="7BFC34AB"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75E2358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0.028</w:t>
            </w:r>
          </w:p>
        </w:tc>
      </w:tr>
      <w:tr w:rsidR="009177E3" w:rsidRPr="009177E3" w14:paraId="31B6B65A"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C24C64B"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Ba Error</w:t>
            </w:r>
          </w:p>
        </w:tc>
        <w:tc>
          <w:tcPr>
            <w:tcW w:w="1900" w:type="dxa"/>
            <w:tcBorders>
              <w:top w:val="nil"/>
              <w:left w:val="nil"/>
              <w:bottom w:val="single" w:sz="4" w:space="0" w:color="auto"/>
              <w:right w:val="single" w:sz="4" w:space="0" w:color="auto"/>
            </w:tcBorders>
            <w:shd w:val="clear" w:color="auto" w:fill="auto"/>
            <w:noWrap/>
            <w:vAlign w:val="bottom"/>
            <w:hideMark/>
          </w:tcPr>
          <w:p w14:paraId="4DED610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40.53</w:t>
            </w:r>
          </w:p>
        </w:tc>
        <w:tc>
          <w:tcPr>
            <w:tcW w:w="1540" w:type="dxa"/>
            <w:tcBorders>
              <w:top w:val="nil"/>
              <w:left w:val="nil"/>
              <w:bottom w:val="single" w:sz="4" w:space="0" w:color="auto"/>
              <w:right w:val="single" w:sz="4" w:space="0" w:color="auto"/>
            </w:tcBorders>
            <w:shd w:val="clear" w:color="auto" w:fill="auto"/>
            <w:noWrap/>
            <w:vAlign w:val="bottom"/>
            <w:hideMark/>
          </w:tcPr>
          <w:p w14:paraId="2CA4ECA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0A6EA2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0.007</w:t>
            </w:r>
          </w:p>
        </w:tc>
      </w:tr>
      <w:tr w:rsidR="009177E3" w:rsidRPr="009177E3" w14:paraId="6B96F3B0"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F659B18"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W</w:t>
            </w:r>
          </w:p>
        </w:tc>
        <w:tc>
          <w:tcPr>
            <w:tcW w:w="1900" w:type="dxa"/>
            <w:tcBorders>
              <w:top w:val="nil"/>
              <w:left w:val="nil"/>
              <w:bottom w:val="single" w:sz="4" w:space="0" w:color="auto"/>
              <w:right w:val="single" w:sz="4" w:space="0" w:color="auto"/>
            </w:tcBorders>
            <w:shd w:val="clear" w:color="auto" w:fill="auto"/>
            <w:noWrap/>
            <w:vAlign w:val="bottom"/>
            <w:hideMark/>
          </w:tcPr>
          <w:p w14:paraId="09B1006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2E680DF3"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2140" w:type="dxa"/>
            <w:tcBorders>
              <w:top w:val="nil"/>
              <w:left w:val="nil"/>
              <w:bottom w:val="single" w:sz="4" w:space="0" w:color="auto"/>
              <w:right w:val="single" w:sz="4" w:space="0" w:color="auto"/>
            </w:tcBorders>
            <w:shd w:val="clear" w:color="auto" w:fill="auto"/>
            <w:noWrap/>
            <w:vAlign w:val="bottom"/>
            <w:hideMark/>
          </w:tcPr>
          <w:p w14:paraId="447ACA8C"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70CD63E4"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C5CCC46"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W Error</w:t>
            </w:r>
          </w:p>
        </w:tc>
        <w:tc>
          <w:tcPr>
            <w:tcW w:w="1900" w:type="dxa"/>
            <w:tcBorders>
              <w:top w:val="nil"/>
              <w:left w:val="nil"/>
              <w:bottom w:val="single" w:sz="4" w:space="0" w:color="auto"/>
              <w:right w:val="single" w:sz="4" w:space="0" w:color="auto"/>
            </w:tcBorders>
            <w:shd w:val="clear" w:color="auto" w:fill="auto"/>
            <w:noWrap/>
            <w:vAlign w:val="bottom"/>
            <w:hideMark/>
          </w:tcPr>
          <w:p w14:paraId="219E017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21.5</w:t>
            </w:r>
          </w:p>
        </w:tc>
        <w:tc>
          <w:tcPr>
            <w:tcW w:w="1540" w:type="dxa"/>
            <w:tcBorders>
              <w:top w:val="nil"/>
              <w:left w:val="nil"/>
              <w:bottom w:val="single" w:sz="4" w:space="0" w:color="auto"/>
              <w:right w:val="single" w:sz="4" w:space="0" w:color="auto"/>
            </w:tcBorders>
            <w:shd w:val="clear" w:color="auto" w:fill="auto"/>
            <w:noWrap/>
            <w:vAlign w:val="bottom"/>
            <w:hideMark/>
          </w:tcPr>
          <w:p w14:paraId="5726901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c>
          <w:tcPr>
            <w:tcW w:w="2140" w:type="dxa"/>
            <w:tcBorders>
              <w:top w:val="nil"/>
              <w:left w:val="nil"/>
              <w:bottom w:val="single" w:sz="4" w:space="0" w:color="auto"/>
              <w:right w:val="single" w:sz="4" w:space="0" w:color="auto"/>
            </w:tcBorders>
            <w:shd w:val="clear" w:color="auto" w:fill="auto"/>
            <w:noWrap/>
            <w:vAlign w:val="bottom"/>
            <w:hideMark/>
          </w:tcPr>
          <w:p w14:paraId="68206832"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0.006</w:t>
            </w:r>
          </w:p>
        </w:tc>
      </w:tr>
      <w:tr w:rsidR="009177E3" w:rsidRPr="009177E3" w14:paraId="2FA5A473"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533F71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Au</w:t>
            </w:r>
          </w:p>
        </w:tc>
        <w:tc>
          <w:tcPr>
            <w:tcW w:w="1900" w:type="dxa"/>
            <w:tcBorders>
              <w:top w:val="nil"/>
              <w:left w:val="nil"/>
              <w:bottom w:val="single" w:sz="4" w:space="0" w:color="auto"/>
              <w:right w:val="single" w:sz="4" w:space="0" w:color="auto"/>
            </w:tcBorders>
            <w:shd w:val="clear" w:color="auto" w:fill="auto"/>
            <w:noWrap/>
            <w:vAlign w:val="bottom"/>
            <w:hideMark/>
          </w:tcPr>
          <w:p w14:paraId="66765103"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2529E893"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2140" w:type="dxa"/>
            <w:tcBorders>
              <w:top w:val="nil"/>
              <w:left w:val="nil"/>
              <w:bottom w:val="single" w:sz="4" w:space="0" w:color="auto"/>
              <w:right w:val="single" w:sz="4" w:space="0" w:color="auto"/>
            </w:tcBorders>
            <w:shd w:val="clear" w:color="auto" w:fill="auto"/>
            <w:noWrap/>
            <w:vAlign w:val="bottom"/>
            <w:hideMark/>
          </w:tcPr>
          <w:p w14:paraId="434AE481"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0730CF24"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3C460A6"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Au Error</w:t>
            </w:r>
          </w:p>
        </w:tc>
        <w:tc>
          <w:tcPr>
            <w:tcW w:w="1900" w:type="dxa"/>
            <w:tcBorders>
              <w:top w:val="nil"/>
              <w:left w:val="nil"/>
              <w:bottom w:val="single" w:sz="4" w:space="0" w:color="auto"/>
              <w:right w:val="single" w:sz="4" w:space="0" w:color="auto"/>
            </w:tcBorders>
            <w:shd w:val="clear" w:color="auto" w:fill="auto"/>
            <w:noWrap/>
            <w:vAlign w:val="bottom"/>
            <w:hideMark/>
          </w:tcPr>
          <w:p w14:paraId="3AD31A6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3.66</w:t>
            </w:r>
          </w:p>
        </w:tc>
        <w:tc>
          <w:tcPr>
            <w:tcW w:w="1540" w:type="dxa"/>
            <w:tcBorders>
              <w:top w:val="nil"/>
              <w:left w:val="nil"/>
              <w:bottom w:val="single" w:sz="4" w:space="0" w:color="auto"/>
              <w:right w:val="single" w:sz="4" w:space="0" w:color="auto"/>
            </w:tcBorders>
            <w:shd w:val="clear" w:color="auto" w:fill="auto"/>
            <w:noWrap/>
            <w:vAlign w:val="bottom"/>
            <w:hideMark/>
          </w:tcPr>
          <w:p w14:paraId="7A06C68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0E284F7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01D2985D"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DA88993"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Pb</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470EF73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12.33</w:t>
            </w:r>
          </w:p>
        </w:tc>
        <w:tc>
          <w:tcPr>
            <w:tcW w:w="1540" w:type="dxa"/>
            <w:tcBorders>
              <w:top w:val="nil"/>
              <w:left w:val="nil"/>
              <w:bottom w:val="single" w:sz="4" w:space="0" w:color="auto"/>
              <w:right w:val="single" w:sz="4" w:space="0" w:color="auto"/>
            </w:tcBorders>
            <w:shd w:val="clear" w:color="auto" w:fill="auto"/>
            <w:noWrap/>
            <w:vAlign w:val="bottom"/>
            <w:hideMark/>
          </w:tcPr>
          <w:p w14:paraId="6EEA344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c>
          <w:tcPr>
            <w:tcW w:w="2140" w:type="dxa"/>
            <w:tcBorders>
              <w:top w:val="nil"/>
              <w:left w:val="nil"/>
              <w:bottom w:val="single" w:sz="4" w:space="0" w:color="auto"/>
              <w:right w:val="single" w:sz="4" w:space="0" w:color="auto"/>
            </w:tcBorders>
            <w:shd w:val="clear" w:color="auto" w:fill="auto"/>
            <w:noWrap/>
            <w:vAlign w:val="bottom"/>
            <w:hideMark/>
          </w:tcPr>
          <w:p w14:paraId="157D6B2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4690E4B8"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D1C39C3"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Pb</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38FC87DB"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2.56</w:t>
            </w:r>
          </w:p>
        </w:tc>
        <w:tc>
          <w:tcPr>
            <w:tcW w:w="1540" w:type="dxa"/>
            <w:tcBorders>
              <w:top w:val="nil"/>
              <w:left w:val="nil"/>
              <w:bottom w:val="single" w:sz="4" w:space="0" w:color="auto"/>
              <w:right w:val="single" w:sz="4" w:space="0" w:color="auto"/>
            </w:tcBorders>
            <w:shd w:val="clear" w:color="auto" w:fill="auto"/>
            <w:noWrap/>
            <w:vAlign w:val="bottom"/>
            <w:hideMark/>
          </w:tcPr>
          <w:p w14:paraId="1574AF32"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79E427E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28DF0E40"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B039AF"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Bi</w:t>
            </w:r>
          </w:p>
        </w:tc>
        <w:tc>
          <w:tcPr>
            <w:tcW w:w="1900" w:type="dxa"/>
            <w:tcBorders>
              <w:top w:val="nil"/>
              <w:left w:val="nil"/>
              <w:bottom w:val="single" w:sz="4" w:space="0" w:color="auto"/>
              <w:right w:val="single" w:sz="4" w:space="0" w:color="auto"/>
            </w:tcBorders>
            <w:shd w:val="clear" w:color="auto" w:fill="auto"/>
            <w:noWrap/>
            <w:vAlign w:val="bottom"/>
            <w:hideMark/>
          </w:tcPr>
          <w:p w14:paraId="2F05BC3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566C1BCE"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40D5FA2"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4EDA04B0"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5809861"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Bi Error</w:t>
            </w:r>
          </w:p>
        </w:tc>
        <w:tc>
          <w:tcPr>
            <w:tcW w:w="1900" w:type="dxa"/>
            <w:tcBorders>
              <w:top w:val="nil"/>
              <w:left w:val="nil"/>
              <w:bottom w:val="single" w:sz="4" w:space="0" w:color="auto"/>
              <w:right w:val="single" w:sz="4" w:space="0" w:color="auto"/>
            </w:tcBorders>
            <w:shd w:val="clear" w:color="auto" w:fill="auto"/>
            <w:noWrap/>
            <w:vAlign w:val="bottom"/>
            <w:hideMark/>
          </w:tcPr>
          <w:p w14:paraId="60C3A6B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3.81</w:t>
            </w:r>
          </w:p>
        </w:tc>
        <w:tc>
          <w:tcPr>
            <w:tcW w:w="1540" w:type="dxa"/>
            <w:tcBorders>
              <w:top w:val="nil"/>
              <w:left w:val="nil"/>
              <w:bottom w:val="single" w:sz="4" w:space="0" w:color="auto"/>
              <w:right w:val="single" w:sz="4" w:space="0" w:color="auto"/>
            </w:tcBorders>
            <w:shd w:val="clear" w:color="auto" w:fill="auto"/>
            <w:noWrap/>
            <w:vAlign w:val="bottom"/>
            <w:hideMark/>
          </w:tcPr>
          <w:p w14:paraId="1DB36F4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2F07791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0.002</w:t>
            </w:r>
          </w:p>
        </w:tc>
      </w:tr>
      <w:tr w:rsidR="009177E3" w:rsidRPr="009177E3" w14:paraId="015FB3A1"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A52F397"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Sc</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6077240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12322.31</w:t>
            </w:r>
          </w:p>
        </w:tc>
        <w:tc>
          <w:tcPr>
            <w:tcW w:w="1540" w:type="dxa"/>
            <w:tcBorders>
              <w:top w:val="nil"/>
              <w:left w:val="nil"/>
              <w:bottom w:val="single" w:sz="4" w:space="0" w:color="auto"/>
              <w:right w:val="single" w:sz="4" w:space="0" w:color="auto"/>
            </w:tcBorders>
            <w:shd w:val="clear" w:color="auto" w:fill="auto"/>
            <w:noWrap/>
            <w:vAlign w:val="bottom"/>
            <w:hideMark/>
          </w:tcPr>
          <w:p w14:paraId="28D1782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5D86C63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4336CBA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7AE5AD9"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Sc</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3DA02F6C"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3.8</w:t>
            </w:r>
          </w:p>
        </w:tc>
        <w:tc>
          <w:tcPr>
            <w:tcW w:w="1540" w:type="dxa"/>
            <w:tcBorders>
              <w:top w:val="nil"/>
              <w:left w:val="nil"/>
              <w:bottom w:val="single" w:sz="4" w:space="0" w:color="auto"/>
              <w:right w:val="single" w:sz="4" w:space="0" w:color="auto"/>
            </w:tcBorders>
            <w:shd w:val="clear" w:color="auto" w:fill="auto"/>
            <w:noWrap/>
            <w:vAlign w:val="bottom"/>
            <w:hideMark/>
          </w:tcPr>
          <w:p w14:paraId="5380F02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3F8C8A50"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4BD31186"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4D64A55"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Te</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1759D2E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3CEEED34"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42F19EF9"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1CA3404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F6B3C21"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Te</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58F278D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2.24</w:t>
            </w:r>
          </w:p>
        </w:tc>
        <w:tc>
          <w:tcPr>
            <w:tcW w:w="1540" w:type="dxa"/>
            <w:tcBorders>
              <w:top w:val="nil"/>
              <w:left w:val="nil"/>
              <w:bottom w:val="single" w:sz="4" w:space="0" w:color="auto"/>
              <w:right w:val="single" w:sz="4" w:space="0" w:color="auto"/>
            </w:tcBorders>
            <w:shd w:val="clear" w:color="auto" w:fill="auto"/>
            <w:noWrap/>
            <w:vAlign w:val="bottom"/>
            <w:hideMark/>
          </w:tcPr>
          <w:p w14:paraId="4D855984"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CE2FCB8"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10381ED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A39484"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Cs</w:t>
            </w:r>
          </w:p>
        </w:tc>
        <w:tc>
          <w:tcPr>
            <w:tcW w:w="1900" w:type="dxa"/>
            <w:tcBorders>
              <w:top w:val="nil"/>
              <w:left w:val="nil"/>
              <w:bottom w:val="single" w:sz="4" w:space="0" w:color="auto"/>
              <w:right w:val="single" w:sz="4" w:space="0" w:color="auto"/>
            </w:tcBorders>
            <w:shd w:val="clear" w:color="auto" w:fill="auto"/>
            <w:noWrap/>
            <w:vAlign w:val="bottom"/>
            <w:hideMark/>
          </w:tcPr>
          <w:p w14:paraId="685EC6D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6A84B78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3E40803B"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7C68B11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3A620B7"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Cs Error</w:t>
            </w:r>
          </w:p>
        </w:tc>
        <w:tc>
          <w:tcPr>
            <w:tcW w:w="1900" w:type="dxa"/>
            <w:tcBorders>
              <w:top w:val="nil"/>
              <w:left w:val="nil"/>
              <w:bottom w:val="single" w:sz="4" w:space="0" w:color="auto"/>
              <w:right w:val="single" w:sz="4" w:space="0" w:color="auto"/>
            </w:tcBorders>
            <w:shd w:val="clear" w:color="auto" w:fill="auto"/>
            <w:noWrap/>
            <w:vAlign w:val="bottom"/>
            <w:hideMark/>
          </w:tcPr>
          <w:p w14:paraId="7ABC73B3"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0.53</w:t>
            </w:r>
          </w:p>
        </w:tc>
        <w:tc>
          <w:tcPr>
            <w:tcW w:w="1540" w:type="dxa"/>
            <w:tcBorders>
              <w:top w:val="nil"/>
              <w:left w:val="nil"/>
              <w:bottom w:val="single" w:sz="4" w:space="0" w:color="auto"/>
              <w:right w:val="single" w:sz="4" w:space="0" w:color="auto"/>
            </w:tcBorders>
            <w:shd w:val="clear" w:color="auto" w:fill="auto"/>
            <w:noWrap/>
            <w:vAlign w:val="bottom"/>
            <w:hideMark/>
          </w:tcPr>
          <w:p w14:paraId="3ADD6AFE"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3BAC30D4"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03B76B0D"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EB5B86"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Hf</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21D8B0EA"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6860520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11A8E201"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7BE34FF0"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1EF6FA"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Hf</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6C964F70"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1.5</w:t>
            </w:r>
          </w:p>
        </w:tc>
        <w:tc>
          <w:tcPr>
            <w:tcW w:w="1540" w:type="dxa"/>
            <w:tcBorders>
              <w:top w:val="nil"/>
              <w:left w:val="nil"/>
              <w:bottom w:val="single" w:sz="4" w:space="0" w:color="auto"/>
              <w:right w:val="single" w:sz="4" w:space="0" w:color="auto"/>
            </w:tcBorders>
            <w:shd w:val="clear" w:color="auto" w:fill="auto"/>
            <w:noWrap/>
            <w:vAlign w:val="bottom"/>
            <w:hideMark/>
          </w:tcPr>
          <w:p w14:paraId="26105B5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5D97229F"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0.004</w:t>
            </w:r>
          </w:p>
        </w:tc>
      </w:tr>
      <w:tr w:rsidR="009177E3" w:rsidRPr="009177E3" w14:paraId="11B6403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08FE62"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Ta</w:t>
            </w:r>
          </w:p>
        </w:tc>
        <w:tc>
          <w:tcPr>
            <w:tcW w:w="1900" w:type="dxa"/>
            <w:tcBorders>
              <w:top w:val="nil"/>
              <w:left w:val="nil"/>
              <w:bottom w:val="single" w:sz="4" w:space="0" w:color="auto"/>
              <w:right w:val="single" w:sz="4" w:space="0" w:color="auto"/>
            </w:tcBorders>
            <w:shd w:val="clear" w:color="auto" w:fill="auto"/>
            <w:noWrap/>
            <w:vAlign w:val="bottom"/>
            <w:hideMark/>
          </w:tcPr>
          <w:p w14:paraId="46C4DDE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15B3EB6E"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5AAFAAF9"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2983C841"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240A8C8"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Ta Error</w:t>
            </w:r>
          </w:p>
        </w:tc>
        <w:tc>
          <w:tcPr>
            <w:tcW w:w="1900" w:type="dxa"/>
            <w:tcBorders>
              <w:top w:val="nil"/>
              <w:left w:val="nil"/>
              <w:bottom w:val="single" w:sz="4" w:space="0" w:color="auto"/>
              <w:right w:val="single" w:sz="4" w:space="0" w:color="auto"/>
            </w:tcBorders>
            <w:shd w:val="clear" w:color="auto" w:fill="auto"/>
            <w:noWrap/>
            <w:vAlign w:val="bottom"/>
            <w:hideMark/>
          </w:tcPr>
          <w:p w14:paraId="7E3A48B2"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1.5</w:t>
            </w:r>
          </w:p>
        </w:tc>
        <w:tc>
          <w:tcPr>
            <w:tcW w:w="1540" w:type="dxa"/>
            <w:tcBorders>
              <w:top w:val="nil"/>
              <w:left w:val="nil"/>
              <w:bottom w:val="single" w:sz="4" w:space="0" w:color="auto"/>
              <w:right w:val="single" w:sz="4" w:space="0" w:color="auto"/>
            </w:tcBorders>
            <w:shd w:val="clear" w:color="auto" w:fill="auto"/>
            <w:noWrap/>
            <w:vAlign w:val="bottom"/>
            <w:hideMark/>
          </w:tcPr>
          <w:p w14:paraId="42CAE146"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002613F9"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0.003</w:t>
            </w:r>
          </w:p>
        </w:tc>
      </w:tr>
      <w:tr w:rsidR="009177E3" w:rsidRPr="009177E3" w14:paraId="44EF898B"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7B4E31"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Re</w:t>
            </w:r>
          </w:p>
        </w:tc>
        <w:tc>
          <w:tcPr>
            <w:tcW w:w="1900" w:type="dxa"/>
            <w:tcBorders>
              <w:top w:val="nil"/>
              <w:left w:val="nil"/>
              <w:bottom w:val="single" w:sz="4" w:space="0" w:color="auto"/>
              <w:right w:val="single" w:sz="4" w:space="0" w:color="auto"/>
            </w:tcBorders>
            <w:shd w:val="clear" w:color="auto" w:fill="auto"/>
            <w:noWrap/>
            <w:vAlign w:val="bottom"/>
            <w:hideMark/>
          </w:tcPr>
          <w:p w14:paraId="68DF136F"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1AF05E09"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CB54AA7"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r>
      <w:tr w:rsidR="009177E3" w:rsidRPr="009177E3" w14:paraId="01AC6AFE"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CB38DBC"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Re Error</w:t>
            </w:r>
          </w:p>
        </w:tc>
        <w:tc>
          <w:tcPr>
            <w:tcW w:w="1900" w:type="dxa"/>
            <w:tcBorders>
              <w:top w:val="nil"/>
              <w:left w:val="nil"/>
              <w:bottom w:val="single" w:sz="4" w:space="0" w:color="auto"/>
              <w:right w:val="single" w:sz="4" w:space="0" w:color="auto"/>
            </w:tcBorders>
            <w:shd w:val="clear" w:color="auto" w:fill="auto"/>
            <w:noWrap/>
            <w:vAlign w:val="bottom"/>
            <w:hideMark/>
          </w:tcPr>
          <w:p w14:paraId="1EAF5D0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1.5</w:t>
            </w:r>
          </w:p>
        </w:tc>
        <w:tc>
          <w:tcPr>
            <w:tcW w:w="1540" w:type="dxa"/>
            <w:tcBorders>
              <w:top w:val="nil"/>
              <w:left w:val="nil"/>
              <w:bottom w:val="single" w:sz="4" w:space="0" w:color="auto"/>
              <w:right w:val="single" w:sz="4" w:space="0" w:color="auto"/>
            </w:tcBorders>
            <w:shd w:val="clear" w:color="auto" w:fill="auto"/>
            <w:noWrap/>
            <w:vAlign w:val="bottom"/>
            <w:hideMark/>
          </w:tcPr>
          <w:p w14:paraId="6BF368CB"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045AB211"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0.003</w:t>
            </w:r>
          </w:p>
        </w:tc>
      </w:tr>
      <w:tr w:rsidR="009177E3" w:rsidRPr="009177E3" w14:paraId="04517876"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613119A"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Hg</w:t>
            </w:r>
          </w:p>
        </w:tc>
        <w:tc>
          <w:tcPr>
            <w:tcW w:w="1900" w:type="dxa"/>
            <w:tcBorders>
              <w:top w:val="nil"/>
              <w:left w:val="nil"/>
              <w:bottom w:val="single" w:sz="4" w:space="0" w:color="auto"/>
              <w:right w:val="single" w:sz="4" w:space="0" w:color="auto"/>
            </w:tcBorders>
            <w:shd w:val="clear" w:color="auto" w:fill="auto"/>
            <w:noWrap/>
            <w:vAlign w:val="bottom"/>
            <w:hideMark/>
          </w:tcPr>
          <w:p w14:paraId="7E812F35"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1540" w:type="dxa"/>
            <w:tcBorders>
              <w:top w:val="nil"/>
              <w:left w:val="nil"/>
              <w:bottom w:val="single" w:sz="4" w:space="0" w:color="auto"/>
              <w:right w:val="single" w:sz="4" w:space="0" w:color="auto"/>
            </w:tcBorders>
            <w:shd w:val="clear" w:color="auto" w:fill="auto"/>
            <w:noWrap/>
            <w:vAlign w:val="bottom"/>
            <w:hideMark/>
          </w:tcPr>
          <w:p w14:paraId="0EB6015E"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&lt;LOD</w:t>
            </w:r>
          </w:p>
        </w:tc>
        <w:tc>
          <w:tcPr>
            <w:tcW w:w="2140" w:type="dxa"/>
            <w:tcBorders>
              <w:top w:val="nil"/>
              <w:left w:val="nil"/>
              <w:bottom w:val="single" w:sz="4" w:space="0" w:color="auto"/>
              <w:right w:val="single" w:sz="4" w:space="0" w:color="auto"/>
            </w:tcBorders>
            <w:shd w:val="clear" w:color="auto" w:fill="auto"/>
            <w:noWrap/>
            <w:vAlign w:val="bottom"/>
            <w:hideMark/>
          </w:tcPr>
          <w:p w14:paraId="7EE978CC"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1293F61C"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DC970C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Hg Error</w:t>
            </w:r>
          </w:p>
        </w:tc>
        <w:tc>
          <w:tcPr>
            <w:tcW w:w="1900" w:type="dxa"/>
            <w:tcBorders>
              <w:top w:val="nil"/>
              <w:left w:val="nil"/>
              <w:bottom w:val="single" w:sz="4" w:space="0" w:color="auto"/>
              <w:right w:val="single" w:sz="4" w:space="0" w:color="auto"/>
            </w:tcBorders>
            <w:shd w:val="clear" w:color="auto" w:fill="auto"/>
            <w:noWrap/>
            <w:vAlign w:val="bottom"/>
            <w:hideMark/>
          </w:tcPr>
          <w:p w14:paraId="66192DE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1.84</w:t>
            </w:r>
          </w:p>
        </w:tc>
        <w:tc>
          <w:tcPr>
            <w:tcW w:w="1540" w:type="dxa"/>
            <w:tcBorders>
              <w:top w:val="nil"/>
              <w:left w:val="nil"/>
              <w:bottom w:val="single" w:sz="4" w:space="0" w:color="auto"/>
              <w:right w:val="single" w:sz="4" w:space="0" w:color="auto"/>
            </w:tcBorders>
            <w:shd w:val="clear" w:color="auto" w:fill="auto"/>
            <w:noWrap/>
            <w:vAlign w:val="bottom"/>
            <w:hideMark/>
          </w:tcPr>
          <w:p w14:paraId="0CF44D54"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4B9B179D"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6116E811"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1A75668"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Th</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78BB0B3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6.45</w:t>
            </w:r>
          </w:p>
        </w:tc>
        <w:tc>
          <w:tcPr>
            <w:tcW w:w="1540" w:type="dxa"/>
            <w:tcBorders>
              <w:top w:val="nil"/>
              <w:left w:val="nil"/>
              <w:bottom w:val="single" w:sz="4" w:space="0" w:color="auto"/>
              <w:right w:val="single" w:sz="4" w:space="0" w:color="auto"/>
            </w:tcBorders>
            <w:shd w:val="clear" w:color="auto" w:fill="auto"/>
            <w:noWrap/>
            <w:vAlign w:val="bottom"/>
            <w:hideMark/>
          </w:tcPr>
          <w:p w14:paraId="23CBC69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c>
          <w:tcPr>
            <w:tcW w:w="2140" w:type="dxa"/>
            <w:tcBorders>
              <w:top w:val="nil"/>
              <w:left w:val="nil"/>
              <w:bottom w:val="single" w:sz="4" w:space="0" w:color="auto"/>
              <w:right w:val="single" w:sz="4" w:space="0" w:color="auto"/>
            </w:tcBorders>
            <w:shd w:val="clear" w:color="auto" w:fill="auto"/>
            <w:noWrap/>
            <w:vAlign w:val="bottom"/>
            <w:hideMark/>
          </w:tcPr>
          <w:p w14:paraId="38BC71DC"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216A8C68"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E5FFC0F" w14:textId="77777777" w:rsidR="009177E3" w:rsidRPr="009177E3" w:rsidRDefault="009177E3" w:rsidP="009177E3">
            <w:pPr>
              <w:spacing w:after="0" w:line="240" w:lineRule="auto"/>
              <w:rPr>
                <w:rFonts w:ascii="Calibri" w:hAnsi="Calibri" w:cs="Calibri"/>
                <w:b/>
                <w:bCs/>
                <w:color w:val="000000"/>
                <w:sz w:val="22"/>
                <w:szCs w:val="22"/>
              </w:rPr>
            </w:pPr>
            <w:proofErr w:type="spellStart"/>
            <w:r w:rsidRPr="009177E3">
              <w:rPr>
                <w:rFonts w:ascii="Calibri" w:hAnsi="Calibri" w:cs="Calibri"/>
                <w:b/>
                <w:bCs/>
                <w:color w:val="000000"/>
                <w:sz w:val="22"/>
                <w:szCs w:val="22"/>
              </w:rPr>
              <w:t>Th</w:t>
            </w:r>
            <w:proofErr w:type="spellEnd"/>
            <w:r w:rsidRPr="009177E3">
              <w:rPr>
                <w:rFonts w:ascii="Calibri" w:hAnsi="Calibri" w:cs="Calibri"/>
                <w:b/>
                <w:bCs/>
                <w:color w:val="000000"/>
                <w:sz w:val="22"/>
                <w:szCs w:val="22"/>
              </w:rPr>
              <w:t xml:space="preserve"> Error</w:t>
            </w:r>
          </w:p>
        </w:tc>
        <w:tc>
          <w:tcPr>
            <w:tcW w:w="1900" w:type="dxa"/>
            <w:tcBorders>
              <w:top w:val="nil"/>
              <w:left w:val="nil"/>
              <w:bottom w:val="single" w:sz="4" w:space="0" w:color="auto"/>
              <w:right w:val="single" w:sz="4" w:space="0" w:color="auto"/>
            </w:tcBorders>
            <w:shd w:val="clear" w:color="auto" w:fill="auto"/>
            <w:noWrap/>
            <w:vAlign w:val="bottom"/>
            <w:hideMark/>
          </w:tcPr>
          <w:p w14:paraId="696009A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1.77</w:t>
            </w:r>
          </w:p>
        </w:tc>
        <w:tc>
          <w:tcPr>
            <w:tcW w:w="1540" w:type="dxa"/>
            <w:tcBorders>
              <w:top w:val="nil"/>
              <w:left w:val="nil"/>
              <w:bottom w:val="single" w:sz="4" w:space="0" w:color="auto"/>
              <w:right w:val="single" w:sz="4" w:space="0" w:color="auto"/>
            </w:tcBorders>
            <w:shd w:val="clear" w:color="auto" w:fill="auto"/>
            <w:noWrap/>
            <w:vAlign w:val="bottom"/>
            <w:hideMark/>
          </w:tcPr>
          <w:p w14:paraId="165DCE8A"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4CD2E59C"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3FFCF2C7"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367872"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U</w:t>
            </w:r>
          </w:p>
        </w:tc>
        <w:tc>
          <w:tcPr>
            <w:tcW w:w="1900" w:type="dxa"/>
            <w:tcBorders>
              <w:top w:val="nil"/>
              <w:left w:val="nil"/>
              <w:bottom w:val="single" w:sz="4" w:space="0" w:color="auto"/>
              <w:right w:val="single" w:sz="4" w:space="0" w:color="auto"/>
            </w:tcBorders>
            <w:shd w:val="clear" w:color="auto" w:fill="auto"/>
            <w:noWrap/>
            <w:vAlign w:val="bottom"/>
            <w:hideMark/>
          </w:tcPr>
          <w:p w14:paraId="42B9B9D7"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6.6</w:t>
            </w:r>
          </w:p>
        </w:tc>
        <w:tc>
          <w:tcPr>
            <w:tcW w:w="1540" w:type="dxa"/>
            <w:tcBorders>
              <w:top w:val="nil"/>
              <w:left w:val="nil"/>
              <w:bottom w:val="single" w:sz="4" w:space="0" w:color="auto"/>
              <w:right w:val="single" w:sz="4" w:space="0" w:color="auto"/>
            </w:tcBorders>
            <w:shd w:val="clear" w:color="auto" w:fill="auto"/>
            <w:noWrap/>
            <w:vAlign w:val="bottom"/>
            <w:hideMark/>
          </w:tcPr>
          <w:p w14:paraId="158E91D6"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0.001</w:t>
            </w:r>
          </w:p>
        </w:tc>
        <w:tc>
          <w:tcPr>
            <w:tcW w:w="2140" w:type="dxa"/>
            <w:tcBorders>
              <w:top w:val="nil"/>
              <w:left w:val="nil"/>
              <w:bottom w:val="single" w:sz="4" w:space="0" w:color="auto"/>
              <w:right w:val="single" w:sz="4" w:space="0" w:color="auto"/>
            </w:tcBorders>
            <w:shd w:val="clear" w:color="auto" w:fill="auto"/>
            <w:noWrap/>
            <w:vAlign w:val="bottom"/>
            <w:hideMark/>
          </w:tcPr>
          <w:p w14:paraId="5F11E8D2"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r w:rsidR="009177E3" w:rsidRPr="009177E3" w14:paraId="6214BA3B" w14:textId="77777777" w:rsidTr="009177E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D27D539" w14:textId="77777777" w:rsidR="009177E3" w:rsidRPr="009177E3" w:rsidRDefault="009177E3" w:rsidP="009177E3">
            <w:pPr>
              <w:spacing w:after="0" w:line="240" w:lineRule="auto"/>
              <w:rPr>
                <w:rFonts w:ascii="Calibri" w:hAnsi="Calibri" w:cs="Calibri"/>
                <w:b/>
                <w:bCs/>
                <w:color w:val="000000"/>
                <w:sz w:val="22"/>
                <w:szCs w:val="22"/>
              </w:rPr>
            </w:pPr>
            <w:r w:rsidRPr="009177E3">
              <w:rPr>
                <w:rFonts w:ascii="Calibri" w:hAnsi="Calibri" w:cs="Calibri"/>
                <w:b/>
                <w:bCs/>
                <w:color w:val="000000"/>
                <w:sz w:val="22"/>
                <w:szCs w:val="22"/>
              </w:rPr>
              <w:t>U Error</w:t>
            </w:r>
          </w:p>
        </w:tc>
        <w:tc>
          <w:tcPr>
            <w:tcW w:w="1900" w:type="dxa"/>
            <w:tcBorders>
              <w:top w:val="nil"/>
              <w:left w:val="nil"/>
              <w:bottom w:val="single" w:sz="4" w:space="0" w:color="auto"/>
              <w:right w:val="single" w:sz="4" w:space="0" w:color="auto"/>
            </w:tcBorders>
            <w:shd w:val="clear" w:color="auto" w:fill="auto"/>
            <w:noWrap/>
            <w:vAlign w:val="bottom"/>
            <w:hideMark/>
          </w:tcPr>
          <w:p w14:paraId="0B1AFA72"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2.57</w:t>
            </w:r>
          </w:p>
        </w:tc>
        <w:tc>
          <w:tcPr>
            <w:tcW w:w="1540" w:type="dxa"/>
            <w:tcBorders>
              <w:top w:val="nil"/>
              <w:left w:val="nil"/>
              <w:bottom w:val="single" w:sz="4" w:space="0" w:color="auto"/>
              <w:right w:val="single" w:sz="4" w:space="0" w:color="auto"/>
            </w:tcBorders>
            <w:shd w:val="clear" w:color="auto" w:fill="auto"/>
            <w:noWrap/>
            <w:vAlign w:val="bottom"/>
            <w:hideMark/>
          </w:tcPr>
          <w:p w14:paraId="7BD0726E" w14:textId="77777777" w:rsidR="009177E3" w:rsidRPr="009177E3" w:rsidRDefault="009177E3" w:rsidP="009177E3">
            <w:pPr>
              <w:spacing w:after="0" w:line="240" w:lineRule="auto"/>
              <w:jc w:val="right"/>
              <w:rPr>
                <w:rFonts w:ascii="Calibri" w:hAnsi="Calibri" w:cs="Calibri"/>
                <w:color w:val="000000"/>
                <w:sz w:val="22"/>
                <w:szCs w:val="22"/>
              </w:rPr>
            </w:pPr>
            <w:r w:rsidRPr="009177E3">
              <w:rPr>
                <w:rFonts w:ascii="Calibri" w:hAnsi="Calibri" w:cs="Calibri"/>
                <w:color w:val="000000"/>
                <w:sz w:val="22"/>
                <w:szCs w:val="22"/>
              </w:rPr>
              <w:t>0</w:t>
            </w:r>
          </w:p>
        </w:tc>
        <w:tc>
          <w:tcPr>
            <w:tcW w:w="2140" w:type="dxa"/>
            <w:tcBorders>
              <w:top w:val="nil"/>
              <w:left w:val="nil"/>
              <w:bottom w:val="single" w:sz="4" w:space="0" w:color="auto"/>
              <w:right w:val="single" w:sz="4" w:space="0" w:color="auto"/>
            </w:tcBorders>
            <w:shd w:val="clear" w:color="auto" w:fill="auto"/>
            <w:noWrap/>
            <w:vAlign w:val="bottom"/>
            <w:hideMark/>
          </w:tcPr>
          <w:p w14:paraId="693C4773" w14:textId="77777777" w:rsidR="009177E3" w:rsidRPr="009177E3" w:rsidRDefault="009177E3" w:rsidP="009177E3">
            <w:pPr>
              <w:spacing w:after="0" w:line="240" w:lineRule="auto"/>
              <w:rPr>
                <w:rFonts w:ascii="Calibri" w:hAnsi="Calibri" w:cs="Calibri"/>
                <w:color w:val="000000"/>
                <w:sz w:val="22"/>
                <w:szCs w:val="22"/>
              </w:rPr>
            </w:pPr>
            <w:r w:rsidRPr="009177E3">
              <w:rPr>
                <w:rFonts w:ascii="Calibri" w:hAnsi="Calibri" w:cs="Calibri"/>
                <w:color w:val="000000"/>
                <w:sz w:val="22"/>
                <w:szCs w:val="22"/>
              </w:rPr>
              <w:t> </w:t>
            </w:r>
          </w:p>
        </w:tc>
      </w:tr>
    </w:tbl>
    <w:p w14:paraId="0FB78278" w14:textId="77777777" w:rsidR="00A73B88" w:rsidRDefault="00A73B88" w:rsidP="003B64E9"/>
    <w:p w14:paraId="12C5127E" w14:textId="77777777" w:rsidR="00A73B88" w:rsidRPr="003B64E9" w:rsidRDefault="00A73B88" w:rsidP="003B64E9">
      <w:r>
        <w:t xml:space="preserve">The instrument works at different energy ranges in order to analyse different elements, (Main, </w:t>
      </w:r>
      <w:r w:rsidR="006220BA">
        <w:t xml:space="preserve">High, Low, </w:t>
      </w:r>
      <w:r>
        <w:t>Light</w:t>
      </w:r>
      <w:r w:rsidR="00B95AFB">
        <w:t xml:space="preserve">) you can customise </w:t>
      </w:r>
      <w:r w:rsidR="006220BA">
        <w:t xml:space="preserve">which are active and </w:t>
      </w:r>
      <w:r w:rsidR="00B95AFB">
        <w:t>the time duration of these dependant on your results and available time.</w:t>
      </w:r>
      <w:r w:rsidR="006220BA">
        <w:t xml:space="preserve"> The main range detects most elements. Low and light ranges add the capability to analyse light elements (Al, Mg, Si, P, </w:t>
      </w:r>
      <w:proofErr w:type="gramStart"/>
      <w:r w:rsidR="006220BA">
        <w:t>S</w:t>
      </w:r>
      <w:proofErr w:type="gramEnd"/>
      <w:r w:rsidR="006220BA">
        <w:t xml:space="preserve">) which cannot be efficiently excited in main range. High range optimises sensitivity for elements </w:t>
      </w:r>
      <w:proofErr w:type="spellStart"/>
      <w:r w:rsidR="006220BA">
        <w:t>Pd</w:t>
      </w:r>
      <w:proofErr w:type="spellEnd"/>
      <w:r w:rsidR="006220BA">
        <w:t xml:space="preserve"> through to Ba.</w:t>
      </w:r>
      <w:r w:rsidR="006D6B26">
        <w:t xml:space="preserve"> In the element range menu, click on </w:t>
      </w:r>
      <w:proofErr w:type="gramStart"/>
      <w:r w:rsidR="006D6B26">
        <w:t>the ?</w:t>
      </w:r>
      <w:proofErr w:type="gramEnd"/>
      <w:r w:rsidR="006D6B26">
        <w:t xml:space="preserve"> </w:t>
      </w:r>
      <w:proofErr w:type="gramStart"/>
      <w:r w:rsidR="006D6B26">
        <w:t>to</w:t>
      </w:r>
      <w:proofErr w:type="gramEnd"/>
      <w:r w:rsidR="006D6B26">
        <w:t xml:space="preserve"> display the elements a particular range is designed to detect.</w:t>
      </w:r>
    </w:p>
    <w:p w14:paraId="1FC39945" w14:textId="77777777" w:rsidR="00062768" w:rsidRDefault="00062768" w:rsidP="00062768"/>
    <w:p w14:paraId="707CEC8C" w14:textId="77777777" w:rsidR="00972E3B" w:rsidRDefault="00972E3B" w:rsidP="00972E3B">
      <w:pPr>
        <w:pStyle w:val="Heading1"/>
      </w:pPr>
      <w:r>
        <w:t xml:space="preserve">Sample Preparation </w:t>
      </w:r>
    </w:p>
    <w:p w14:paraId="0562CB0E" w14:textId="77777777" w:rsidR="00972E3B" w:rsidRDefault="00972E3B" w:rsidP="00972E3B"/>
    <w:p w14:paraId="3360F9BF" w14:textId="77777777" w:rsidR="00F25B2F" w:rsidRDefault="00F25B2F" w:rsidP="00972E3B">
      <w:r>
        <w:t>For discrete samples the sample cup should be full, this ensures at least 2g of sediment required for satisfactory results is present (</w:t>
      </w:r>
      <w:proofErr w:type="spellStart"/>
      <w:r>
        <w:t>Shand</w:t>
      </w:r>
      <w:proofErr w:type="spellEnd"/>
      <w:r>
        <w:t xml:space="preserve"> and </w:t>
      </w:r>
      <w:proofErr w:type="spellStart"/>
      <w:r>
        <w:t>Wendler</w:t>
      </w:r>
      <w:proofErr w:type="spellEnd"/>
      <w:r>
        <w:t xml:space="preserve"> 2014).</w:t>
      </w:r>
    </w:p>
    <w:p w14:paraId="4E3CD645" w14:textId="77777777" w:rsidR="00972E3B" w:rsidRDefault="4DDC2BEF" w:rsidP="00972E3B">
      <w:r>
        <w:t>For the analysis of soils and sediments the moisture content can affect the accuracy of results, with the apparent concentrations decreasing with increased moisture. This can be a small error with low moisture content but will be a large error when soil/sediment is saturated. Therefore samples should be dried prior to analysis when moisture content exceeds 20% (</w:t>
      </w:r>
      <w:proofErr w:type="spellStart"/>
      <w:r>
        <w:t>Kalnicky</w:t>
      </w:r>
      <w:proofErr w:type="spellEnd"/>
      <w:r>
        <w:t xml:space="preserve"> and </w:t>
      </w:r>
      <w:proofErr w:type="spellStart"/>
      <w:r>
        <w:t>Singhvi</w:t>
      </w:r>
      <w:proofErr w:type="spellEnd"/>
      <w:r>
        <w:t xml:space="preserve"> 2001).</w:t>
      </w:r>
    </w:p>
    <w:tbl>
      <w:tblPr>
        <w:tblStyle w:val="TableGrid"/>
        <w:tblW w:w="0" w:type="auto"/>
        <w:tblLayout w:type="fixed"/>
        <w:tblLook w:val="06A0" w:firstRow="1" w:lastRow="0" w:firstColumn="1" w:lastColumn="0" w:noHBand="1" w:noVBand="1"/>
      </w:tblPr>
      <w:tblGrid>
        <w:gridCol w:w="876"/>
        <w:gridCol w:w="876"/>
        <w:gridCol w:w="876"/>
        <w:gridCol w:w="876"/>
        <w:gridCol w:w="876"/>
        <w:gridCol w:w="876"/>
        <w:gridCol w:w="876"/>
        <w:gridCol w:w="876"/>
        <w:gridCol w:w="876"/>
        <w:gridCol w:w="876"/>
        <w:gridCol w:w="876"/>
      </w:tblGrid>
      <w:tr w:rsidR="4DDC2BEF" w14:paraId="35171231" w14:textId="77777777" w:rsidTr="4DDC2BEF">
        <w:tc>
          <w:tcPr>
            <w:tcW w:w="876" w:type="dxa"/>
          </w:tcPr>
          <w:p w14:paraId="7D8038C9" w14:textId="4B0D2CCE" w:rsidR="4DDC2BEF" w:rsidRDefault="4DDC2BEF">
            <w:r w:rsidRPr="4DDC2BEF">
              <w:rPr>
                <w:rFonts w:ascii="Calibri" w:eastAsia="Calibri" w:hAnsi="Calibri" w:cs="Calibri"/>
                <w:b/>
                <w:bCs/>
              </w:rPr>
              <w:t>SAMPLE</w:t>
            </w:r>
          </w:p>
        </w:tc>
        <w:tc>
          <w:tcPr>
            <w:tcW w:w="876" w:type="dxa"/>
          </w:tcPr>
          <w:p w14:paraId="6DF0CD8A" w14:textId="4148D9EC" w:rsidR="4DDC2BEF" w:rsidRDefault="4DDC2BEF">
            <w:r w:rsidRPr="4DDC2BEF">
              <w:rPr>
                <w:rFonts w:ascii="Calibri" w:eastAsia="Calibri" w:hAnsi="Calibri" w:cs="Calibri"/>
                <w:b/>
                <w:bCs/>
              </w:rPr>
              <w:t>Bal</w:t>
            </w:r>
          </w:p>
        </w:tc>
        <w:tc>
          <w:tcPr>
            <w:tcW w:w="876" w:type="dxa"/>
          </w:tcPr>
          <w:p w14:paraId="0073D46D" w14:textId="129FE913" w:rsidR="4DDC2BEF" w:rsidRDefault="4DDC2BEF">
            <w:r w:rsidRPr="4DDC2BEF">
              <w:rPr>
                <w:rFonts w:ascii="Calibri" w:eastAsia="Calibri" w:hAnsi="Calibri" w:cs="Calibri"/>
                <w:b/>
                <w:bCs/>
              </w:rPr>
              <w:t>Bal Error</w:t>
            </w:r>
          </w:p>
        </w:tc>
        <w:tc>
          <w:tcPr>
            <w:tcW w:w="876" w:type="dxa"/>
          </w:tcPr>
          <w:p w14:paraId="45FE7EF3" w14:textId="5F49A987" w:rsidR="4DDC2BEF" w:rsidRDefault="4DDC2BEF">
            <w:r w:rsidRPr="4DDC2BEF">
              <w:rPr>
                <w:rFonts w:ascii="Calibri" w:eastAsia="Calibri" w:hAnsi="Calibri" w:cs="Calibri"/>
                <w:b/>
                <w:bCs/>
              </w:rPr>
              <w:t>Ca</w:t>
            </w:r>
          </w:p>
        </w:tc>
        <w:tc>
          <w:tcPr>
            <w:tcW w:w="876" w:type="dxa"/>
          </w:tcPr>
          <w:p w14:paraId="132F3220" w14:textId="4EB7D43A" w:rsidR="4DDC2BEF" w:rsidRDefault="4DDC2BEF">
            <w:r w:rsidRPr="4DDC2BEF">
              <w:rPr>
                <w:rFonts w:ascii="Calibri" w:eastAsia="Calibri" w:hAnsi="Calibri" w:cs="Calibri"/>
                <w:b/>
                <w:bCs/>
              </w:rPr>
              <w:t>Ca Error</w:t>
            </w:r>
          </w:p>
        </w:tc>
        <w:tc>
          <w:tcPr>
            <w:tcW w:w="876" w:type="dxa"/>
          </w:tcPr>
          <w:p w14:paraId="0079FA07" w14:textId="20E95DFD" w:rsidR="4DDC2BEF" w:rsidRDefault="4DDC2BEF">
            <w:r w:rsidRPr="4DDC2BEF">
              <w:rPr>
                <w:rFonts w:ascii="Calibri" w:eastAsia="Calibri" w:hAnsi="Calibri" w:cs="Calibri"/>
                <w:b/>
                <w:bCs/>
              </w:rPr>
              <w:t>Mg</w:t>
            </w:r>
          </w:p>
        </w:tc>
        <w:tc>
          <w:tcPr>
            <w:tcW w:w="876" w:type="dxa"/>
          </w:tcPr>
          <w:p w14:paraId="195746B0" w14:textId="7DED51B6" w:rsidR="4DDC2BEF" w:rsidRDefault="4DDC2BEF">
            <w:r w:rsidRPr="4DDC2BEF">
              <w:rPr>
                <w:rFonts w:ascii="Calibri" w:eastAsia="Calibri" w:hAnsi="Calibri" w:cs="Calibri"/>
                <w:b/>
                <w:bCs/>
              </w:rPr>
              <w:t>Mg Error</w:t>
            </w:r>
          </w:p>
        </w:tc>
        <w:tc>
          <w:tcPr>
            <w:tcW w:w="876" w:type="dxa"/>
          </w:tcPr>
          <w:p w14:paraId="6D75EFEE" w14:textId="468EB2BE" w:rsidR="4DDC2BEF" w:rsidRDefault="4DDC2BEF">
            <w:r w:rsidRPr="4DDC2BEF">
              <w:rPr>
                <w:rFonts w:ascii="Calibri" w:eastAsia="Calibri" w:hAnsi="Calibri" w:cs="Calibri"/>
                <w:b/>
                <w:bCs/>
              </w:rPr>
              <w:t>Al</w:t>
            </w:r>
          </w:p>
        </w:tc>
        <w:tc>
          <w:tcPr>
            <w:tcW w:w="876" w:type="dxa"/>
          </w:tcPr>
          <w:p w14:paraId="361181CA" w14:textId="2F4266F0" w:rsidR="4DDC2BEF" w:rsidRDefault="4DDC2BEF">
            <w:r w:rsidRPr="4DDC2BEF">
              <w:rPr>
                <w:rFonts w:ascii="Calibri" w:eastAsia="Calibri" w:hAnsi="Calibri" w:cs="Calibri"/>
                <w:b/>
                <w:bCs/>
              </w:rPr>
              <w:t>Al Error</w:t>
            </w:r>
          </w:p>
        </w:tc>
        <w:tc>
          <w:tcPr>
            <w:tcW w:w="876" w:type="dxa"/>
          </w:tcPr>
          <w:p w14:paraId="04ADD0E0" w14:textId="18902934" w:rsidR="4DDC2BEF" w:rsidRDefault="4DDC2BEF">
            <w:r w:rsidRPr="4DDC2BEF">
              <w:rPr>
                <w:rFonts w:ascii="Calibri" w:eastAsia="Calibri" w:hAnsi="Calibri" w:cs="Calibri"/>
                <w:b/>
                <w:bCs/>
              </w:rPr>
              <w:t>Si</w:t>
            </w:r>
          </w:p>
        </w:tc>
        <w:tc>
          <w:tcPr>
            <w:tcW w:w="876" w:type="dxa"/>
          </w:tcPr>
          <w:p w14:paraId="7798D653" w14:textId="664F8396" w:rsidR="4DDC2BEF" w:rsidRDefault="4DDC2BEF">
            <w:r w:rsidRPr="4DDC2BEF">
              <w:rPr>
                <w:rFonts w:ascii="Calibri" w:eastAsia="Calibri" w:hAnsi="Calibri" w:cs="Calibri"/>
                <w:b/>
                <w:bCs/>
              </w:rPr>
              <w:t>Si Error</w:t>
            </w:r>
          </w:p>
        </w:tc>
      </w:tr>
      <w:tr w:rsidR="4DDC2BEF" w14:paraId="21AADB0B" w14:textId="77777777" w:rsidTr="4DDC2BEF">
        <w:tc>
          <w:tcPr>
            <w:tcW w:w="876" w:type="dxa"/>
          </w:tcPr>
          <w:p w14:paraId="3BB3D47D" w14:textId="0931D157" w:rsidR="4DDC2BEF" w:rsidRDefault="4DDC2BEF">
            <w:r w:rsidRPr="4DDC2BEF">
              <w:rPr>
                <w:rFonts w:ascii="Calibri" w:eastAsia="Calibri" w:hAnsi="Calibri" w:cs="Calibri"/>
              </w:rPr>
              <w:t>Clay air dry</w:t>
            </w:r>
          </w:p>
        </w:tc>
        <w:tc>
          <w:tcPr>
            <w:tcW w:w="876" w:type="dxa"/>
          </w:tcPr>
          <w:p w14:paraId="3224C273" w14:textId="0432497B" w:rsidR="4DDC2BEF" w:rsidRDefault="4DDC2BEF">
            <w:r w:rsidRPr="4DDC2BEF">
              <w:rPr>
                <w:rFonts w:ascii="Calibri" w:eastAsia="Calibri" w:hAnsi="Calibri" w:cs="Calibri"/>
              </w:rPr>
              <w:t>66.472</w:t>
            </w:r>
          </w:p>
        </w:tc>
        <w:tc>
          <w:tcPr>
            <w:tcW w:w="876" w:type="dxa"/>
          </w:tcPr>
          <w:p w14:paraId="63B1013E" w14:textId="71A510D8" w:rsidR="4DDC2BEF" w:rsidRDefault="4DDC2BEF">
            <w:r w:rsidRPr="4DDC2BEF">
              <w:rPr>
                <w:rFonts w:ascii="Calibri" w:eastAsia="Calibri" w:hAnsi="Calibri" w:cs="Calibri"/>
              </w:rPr>
              <w:t>0.123</w:t>
            </w:r>
          </w:p>
        </w:tc>
        <w:tc>
          <w:tcPr>
            <w:tcW w:w="876" w:type="dxa"/>
          </w:tcPr>
          <w:p w14:paraId="02A25732" w14:textId="69BE5473" w:rsidR="4DDC2BEF" w:rsidRDefault="4DDC2BEF">
            <w:r w:rsidRPr="4DDC2BEF">
              <w:rPr>
                <w:rFonts w:ascii="Calibri" w:eastAsia="Calibri" w:hAnsi="Calibri" w:cs="Calibri"/>
              </w:rPr>
              <w:t>0.071</w:t>
            </w:r>
          </w:p>
        </w:tc>
        <w:tc>
          <w:tcPr>
            <w:tcW w:w="876" w:type="dxa"/>
          </w:tcPr>
          <w:p w14:paraId="173734FC" w14:textId="2E8A6BA2" w:rsidR="4DDC2BEF" w:rsidRDefault="4DDC2BEF">
            <w:r w:rsidRPr="4DDC2BEF">
              <w:rPr>
                <w:rFonts w:ascii="Calibri" w:eastAsia="Calibri" w:hAnsi="Calibri" w:cs="Calibri"/>
              </w:rPr>
              <w:t>0.009</w:t>
            </w:r>
          </w:p>
        </w:tc>
        <w:tc>
          <w:tcPr>
            <w:tcW w:w="876" w:type="dxa"/>
          </w:tcPr>
          <w:p w14:paraId="11BF40F0" w14:textId="2770028C" w:rsidR="4DDC2BEF" w:rsidRDefault="4DDC2BEF">
            <w:r w:rsidRPr="4DDC2BEF">
              <w:rPr>
                <w:rFonts w:ascii="Calibri" w:eastAsia="Calibri" w:hAnsi="Calibri" w:cs="Calibri"/>
              </w:rPr>
              <w:t>&lt;LOD</w:t>
            </w:r>
          </w:p>
        </w:tc>
        <w:tc>
          <w:tcPr>
            <w:tcW w:w="876" w:type="dxa"/>
          </w:tcPr>
          <w:p w14:paraId="60A52C60" w14:textId="00754BE5" w:rsidR="4DDC2BEF" w:rsidRDefault="4DDC2BEF">
            <w:r w:rsidRPr="4DDC2BEF">
              <w:rPr>
                <w:rFonts w:ascii="Calibri" w:eastAsia="Calibri" w:hAnsi="Calibri" w:cs="Calibri"/>
              </w:rPr>
              <w:t>0.225</w:t>
            </w:r>
          </w:p>
        </w:tc>
        <w:tc>
          <w:tcPr>
            <w:tcW w:w="876" w:type="dxa"/>
          </w:tcPr>
          <w:p w14:paraId="4FC6CF18" w14:textId="2FA13BD7" w:rsidR="4DDC2BEF" w:rsidRDefault="4DDC2BEF">
            <w:r w:rsidRPr="4DDC2BEF">
              <w:rPr>
                <w:rFonts w:ascii="Calibri" w:eastAsia="Calibri" w:hAnsi="Calibri" w:cs="Calibri"/>
              </w:rPr>
              <w:t>12.385</w:t>
            </w:r>
          </w:p>
        </w:tc>
        <w:tc>
          <w:tcPr>
            <w:tcW w:w="876" w:type="dxa"/>
          </w:tcPr>
          <w:p w14:paraId="619C8BA4" w14:textId="34F1C9C7" w:rsidR="4DDC2BEF" w:rsidRDefault="4DDC2BEF">
            <w:r w:rsidRPr="4DDC2BEF">
              <w:rPr>
                <w:rFonts w:ascii="Calibri" w:eastAsia="Calibri" w:hAnsi="Calibri" w:cs="Calibri"/>
              </w:rPr>
              <w:t>0.121</w:t>
            </w:r>
          </w:p>
        </w:tc>
        <w:tc>
          <w:tcPr>
            <w:tcW w:w="876" w:type="dxa"/>
          </w:tcPr>
          <w:p w14:paraId="01D0FC15" w14:textId="1F803AB8" w:rsidR="4DDC2BEF" w:rsidRDefault="4DDC2BEF">
            <w:r w:rsidRPr="4DDC2BEF">
              <w:rPr>
                <w:rFonts w:ascii="Calibri" w:eastAsia="Calibri" w:hAnsi="Calibri" w:cs="Calibri"/>
              </w:rPr>
              <w:t>16.687</w:t>
            </w:r>
          </w:p>
        </w:tc>
        <w:tc>
          <w:tcPr>
            <w:tcW w:w="876" w:type="dxa"/>
          </w:tcPr>
          <w:p w14:paraId="6409E5B1" w14:textId="3C8C739F" w:rsidR="4DDC2BEF" w:rsidRDefault="4DDC2BEF">
            <w:r w:rsidRPr="4DDC2BEF">
              <w:rPr>
                <w:rFonts w:ascii="Calibri" w:eastAsia="Calibri" w:hAnsi="Calibri" w:cs="Calibri"/>
              </w:rPr>
              <w:t>0.074</w:t>
            </w:r>
          </w:p>
        </w:tc>
      </w:tr>
      <w:tr w:rsidR="4DDC2BEF" w14:paraId="2159DD6E" w14:textId="77777777" w:rsidTr="4DDC2BEF">
        <w:tc>
          <w:tcPr>
            <w:tcW w:w="876" w:type="dxa"/>
          </w:tcPr>
          <w:p w14:paraId="18C375A8" w14:textId="5348537F" w:rsidR="4DDC2BEF" w:rsidRDefault="4DDC2BEF">
            <w:r w:rsidRPr="4DDC2BEF">
              <w:rPr>
                <w:rFonts w:ascii="Calibri" w:eastAsia="Calibri" w:hAnsi="Calibri" w:cs="Calibri"/>
              </w:rPr>
              <w:t>clay wet</w:t>
            </w:r>
          </w:p>
        </w:tc>
        <w:tc>
          <w:tcPr>
            <w:tcW w:w="876" w:type="dxa"/>
          </w:tcPr>
          <w:p w14:paraId="5D3EC4DD" w14:textId="725C15C6" w:rsidR="4DDC2BEF" w:rsidRDefault="4DDC2BEF">
            <w:r w:rsidRPr="4DDC2BEF">
              <w:rPr>
                <w:rFonts w:ascii="Calibri" w:eastAsia="Calibri" w:hAnsi="Calibri" w:cs="Calibri"/>
              </w:rPr>
              <w:t>91.798</w:t>
            </w:r>
          </w:p>
        </w:tc>
        <w:tc>
          <w:tcPr>
            <w:tcW w:w="876" w:type="dxa"/>
          </w:tcPr>
          <w:p w14:paraId="6AA4A48D" w14:textId="1A3CBCA7" w:rsidR="4DDC2BEF" w:rsidRDefault="4DDC2BEF">
            <w:r w:rsidRPr="4DDC2BEF">
              <w:rPr>
                <w:rFonts w:ascii="Calibri" w:eastAsia="Calibri" w:hAnsi="Calibri" w:cs="Calibri"/>
              </w:rPr>
              <w:t>0.032</w:t>
            </w:r>
          </w:p>
        </w:tc>
        <w:tc>
          <w:tcPr>
            <w:tcW w:w="876" w:type="dxa"/>
          </w:tcPr>
          <w:p w14:paraId="0B9DB256" w14:textId="798D8301" w:rsidR="4DDC2BEF" w:rsidRDefault="4DDC2BEF">
            <w:r w:rsidRPr="4DDC2BEF">
              <w:rPr>
                <w:rFonts w:ascii="Calibri" w:eastAsia="Calibri" w:hAnsi="Calibri" w:cs="Calibri"/>
              </w:rPr>
              <w:t>0.02</w:t>
            </w:r>
          </w:p>
        </w:tc>
        <w:tc>
          <w:tcPr>
            <w:tcW w:w="876" w:type="dxa"/>
          </w:tcPr>
          <w:p w14:paraId="06C0B4B8" w14:textId="7EE556F6" w:rsidR="4DDC2BEF" w:rsidRDefault="4DDC2BEF">
            <w:r w:rsidRPr="4DDC2BEF">
              <w:rPr>
                <w:rFonts w:ascii="Calibri" w:eastAsia="Calibri" w:hAnsi="Calibri" w:cs="Calibri"/>
              </w:rPr>
              <w:t>0.004</w:t>
            </w:r>
          </w:p>
        </w:tc>
        <w:tc>
          <w:tcPr>
            <w:tcW w:w="876" w:type="dxa"/>
          </w:tcPr>
          <w:p w14:paraId="77583EC1" w14:textId="35715BEE" w:rsidR="4DDC2BEF" w:rsidRDefault="4DDC2BEF">
            <w:r w:rsidRPr="4DDC2BEF">
              <w:rPr>
                <w:rFonts w:ascii="Calibri" w:eastAsia="Calibri" w:hAnsi="Calibri" w:cs="Calibri"/>
              </w:rPr>
              <w:t>0.126</w:t>
            </w:r>
          </w:p>
        </w:tc>
        <w:tc>
          <w:tcPr>
            <w:tcW w:w="876" w:type="dxa"/>
          </w:tcPr>
          <w:p w14:paraId="7D209D15" w14:textId="380D7508" w:rsidR="4DDC2BEF" w:rsidRDefault="4DDC2BEF">
            <w:r w:rsidRPr="4DDC2BEF">
              <w:rPr>
                <w:rFonts w:ascii="Calibri" w:eastAsia="Calibri" w:hAnsi="Calibri" w:cs="Calibri"/>
              </w:rPr>
              <w:t>0.082</w:t>
            </w:r>
          </w:p>
        </w:tc>
        <w:tc>
          <w:tcPr>
            <w:tcW w:w="876" w:type="dxa"/>
          </w:tcPr>
          <w:p w14:paraId="3EBF09A7" w14:textId="008BD75F" w:rsidR="4DDC2BEF" w:rsidRDefault="4DDC2BEF">
            <w:r w:rsidRPr="4DDC2BEF">
              <w:rPr>
                <w:rFonts w:ascii="Calibri" w:eastAsia="Calibri" w:hAnsi="Calibri" w:cs="Calibri"/>
              </w:rPr>
              <w:t>1.912</w:t>
            </w:r>
          </w:p>
        </w:tc>
        <w:tc>
          <w:tcPr>
            <w:tcW w:w="876" w:type="dxa"/>
          </w:tcPr>
          <w:p w14:paraId="11D32800" w14:textId="7704A3E9" w:rsidR="4DDC2BEF" w:rsidRDefault="4DDC2BEF">
            <w:r w:rsidRPr="4DDC2BEF">
              <w:rPr>
                <w:rFonts w:ascii="Calibri" w:eastAsia="Calibri" w:hAnsi="Calibri" w:cs="Calibri"/>
              </w:rPr>
              <w:t>0.033</w:t>
            </w:r>
          </w:p>
        </w:tc>
        <w:tc>
          <w:tcPr>
            <w:tcW w:w="876" w:type="dxa"/>
          </w:tcPr>
          <w:p w14:paraId="36A3C9B6" w14:textId="67268A3B" w:rsidR="4DDC2BEF" w:rsidRDefault="4DDC2BEF">
            <w:r w:rsidRPr="4DDC2BEF">
              <w:rPr>
                <w:rFonts w:ascii="Calibri" w:eastAsia="Calibri" w:hAnsi="Calibri" w:cs="Calibri"/>
              </w:rPr>
              <w:t>4.446</w:t>
            </w:r>
          </w:p>
        </w:tc>
        <w:tc>
          <w:tcPr>
            <w:tcW w:w="876" w:type="dxa"/>
          </w:tcPr>
          <w:p w14:paraId="7487FA91" w14:textId="67A17281" w:rsidR="4DDC2BEF" w:rsidRDefault="4DDC2BEF">
            <w:r w:rsidRPr="4DDC2BEF">
              <w:rPr>
                <w:rFonts w:ascii="Calibri" w:eastAsia="Calibri" w:hAnsi="Calibri" w:cs="Calibri"/>
              </w:rPr>
              <w:t>0.031</w:t>
            </w:r>
          </w:p>
        </w:tc>
      </w:tr>
    </w:tbl>
    <w:p w14:paraId="77F08C8F" w14:textId="77135953" w:rsidR="4DDC2BEF" w:rsidRDefault="4DDC2BEF" w:rsidP="4DDC2BEF"/>
    <w:p w14:paraId="1B67A311" w14:textId="77777777" w:rsidR="0098120F" w:rsidRDefault="006D6B26" w:rsidP="006D6B26">
      <w:pPr>
        <w:pStyle w:val="Heading1"/>
      </w:pPr>
      <w:r>
        <w:t>Data analysis</w:t>
      </w:r>
    </w:p>
    <w:p w14:paraId="62EBF3C5" w14:textId="77777777" w:rsidR="0098120F" w:rsidRDefault="0098120F" w:rsidP="00062768"/>
    <w:p w14:paraId="14D2B666" w14:textId="77777777" w:rsidR="00880498" w:rsidRDefault="006D6B26" w:rsidP="00062768">
      <w:r>
        <w:t xml:space="preserve">As you can see the XRF generates a lot of data relatively quickly. </w:t>
      </w:r>
      <w:r w:rsidR="00880498">
        <w:t xml:space="preserve">In addition to elements the XRF can calculate the proportions of several oxides including </w:t>
      </w:r>
      <w:proofErr w:type="spellStart"/>
      <w:r w:rsidR="00880498">
        <w:t>CaO</w:t>
      </w:r>
      <w:proofErr w:type="spellEnd"/>
      <w:r w:rsidR="00880498">
        <w:t xml:space="preserve"> and </w:t>
      </w:r>
      <w:proofErr w:type="spellStart"/>
      <w:r w:rsidR="00880498">
        <w:t>SiO</w:t>
      </w:r>
      <w:proofErr w:type="spellEnd"/>
      <w:r w:rsidR="00880498">
        <w:t>.</w:t>
      </w:r>
    </w:p>
    <w:p w14:paraId="6D98A12B" w14:textId="77777777" w:rsidR="00880498" w:rsidRDefault="00880498" w:rsidP="00062768"/>
    <w:p w14:paraId="4ECA6771" w14:textId="77777777" w:rsidR="006D6B26" w:rsidRDefault="006D6B26" w:rsidP="00062768">
      <w:r>
        <w:t xml:space="preserve">How you analyse this data </w:t>
      </w:r>
      <w:r w:rsidR="00972E3B">
        <w:t>(</w:t>
      </w:r>
      <w:proofErr w:type="spellStart"/>
      <w:r w:rsidR="00972E3B">
        <w:t>Croudace</w:t>
      </w:r>
      <w:proofErr w:type="spellEnd"/>
      <w:r w:rsidR="00972E3B">
        <w:t xml:space="preserve"> </w:t>
      </w:r>
      <w:r w:rsidR="00972E3B" w:rsidRPr="00972E3B">
        <w:rPr>
          <w:i/>
        </w:rPr>
        <w:t>et al</w:t>
      </w:r>
      <w:r w:rsidR="00972E3B">
        <w:t xml:space="preserve"> 2006) </w:t>
      </w:r>
      <w:r>
        <w:t>will depend on your research question. It maybe you want to focus on the elements that are common in all your samples for a comparison, on the other hand it may be rarer elements that are of interest in fingerprinting sediment sources or processes.</w:t>
      </w:r>
    </w:p>
    <w:p w14:paraId="2946DB82" w14:textId="77777777" w:rsidR="006D6B26" w:rsidRDefault="006D6B26" w:rsidP="00062768"/>
    <w:p w14:paraId="1CAE73CA" w14:textId="77777777" w:rsidR="006D6B26" w:rsidRDefault="006D6B26" w:rsidP="00062768">
      <w:r>
        <w:t>In down core studies</w:t>
      </w:r>
      <w:r w:rsidR="00972E3B">
        <w:t xml:space="preserve"> (</w:t>
      </w:r>
      <w:proofErr w:type="spellStart"/>
      <w:r w:rsidR="00972E3B">
        <w:t>Croudace</w:t>
      </w:r>
      <w:proofErr w:type="spellEnd"/>
      <w:r w:rsidR="00972E3B">
        <w:t xml:space="preserve"> and Rothwell 2015)</w:t>
      </w:r>
      <w:r>
        <w:t>, you may wish to start by graphing the main elements to see how they vary by depth. Many researchers go on to study particular ratios of elements as proxies of environmental processes, for example grain size</w:t>
      </w:r>
      <w:r w:rsidR="00972E3B">
        <w:t xml:space="preserve"> (Liu </w:t>
      </w:r>
      <w:r w:rsidR="00972E3B" w:rsidRPr="00972E3B">
        <w:rPr>
          <w:i/>
        </w:rPr>
        <w:t>et al</w:t>
      </w:r>
      <w:r w:rsidR="00972E3B">
        <w:t xml:space="preserve"> 2019)</w:t>
      </w:r>
      <w:r>
        <w:t>.</w:t>
      </w:r>
    </w:p>
    <w:p w14:paraId="5997CC1D" w14:textId="77777777" w:rsidR="00880498" w:rsidRDefault="00880498" w:rsidP="00062768"/>
    <w:p w14:paraId="071E4E01" w14:textId="77777777" w:rsidR="00880498" w:rsidRDefault="00880498" w:rsidP="00880498">
      <w:pPr>
        <w:pStyle w:val="Heading1"/>
      </w:pPr>
      <w:r>
        <w:t>References</w:t>
      </w:r>
    </w:p>
    <w:p w14:paraId="04C83F0C" w14:textId="77777777" w:rsidR="00880498" w:rsidRDefault="00880498" w:rsidP="00880498">
      <w:proofErr w:type="spellStart"/>
      <w:r>
        <w:t>Croudace</w:t>
      </w:r>
      <w:proofErr w:type="spellEnd"/>
      <w:r>
        <w:t xml:space="preserve">, I. </w:t>
      </w:r>
      <w:proofErr w:type="spellStart"/>
      <w:r>
        <w:t>Rindby</w:t>
      </w:r>
      <w:proofErr w:type="spellEnd"/>
      <w:r>
        <w:t xml:space="preserve">, A and Rothwell, G. (2006) </w:t>
      </w:r>
      <w:r w:rsidRPr="009B21CC">
        <w:rPr>
          <w:i/>
        </w:rPr>
        <w:t>ITRAX: Description and evaluation of a new multifunction X-ray core scanner.</w:t>
      </w:r>
      <w:r>
        <w:t xml:space="preserve"> Geological Society of London Special Publications. V.267. P51-63</w:t>
      </w:r>
    </w:p>
    <w:p w14:paraId="110FFD37" w14:textId="77777777" w:rsidR="00880498" w:rsidRDefault="00880498" w:rsidP="00880498"/>
    <w:p w14:paraId="50DBF5E6" w14:textId="77777777" w:rsidR="00880498" w:rsidRDefault="00880498" w:rsidP="00880498">
      <w:proofErr w:type="spellStart"/>
      <w:r>
        <w:t>Croudace</w:t>
      </w:r>
      <w:proofErr w:type="spellEnd"/>
      <w:r>
        <w:t>, I and Rothwell, G (2015) (</w:t>
      </w:r>
      <w:proofErr w:type="spellStart"/>
      <w:proofErr w:type="gramStart"/>
      <w:r>
        <w:t>eds</w:t>
      </w:r>
      <w:proofErr w:type="spellEnd"/>
      <w:proofErr w:type="gramEnd"/>
      <w:r>
        <w:t xml:space="preserve">) </w:t>
      </w:r>
      <w:r w:rsidRPr="009B21CC">
        <w:rPr>
          <w:i/>
        </w:rPr>
        <w:t>Micro XRF studies of sediment cores</w:t>
      </w:r>
      <w:r>
        <w:t xml:space="preserve">. Developments in </w:t>
      </w:r>
      <w:proofErr w:type="spellStart"/>
      <w:r>
        <w:t>Palaeoenvironm</w:t>
      </w:r>
      <w:r w:rsidR="009B21CC">
        <w:t>en</w:t>
      </w:r>
      <w:r>
        <w:t>tal</w:t>
      </w:r>
      <w:proofErr w:type="spellEnd"/>
      <w:r>
        <w:t xml:space="preserve"> Research 17</w:t>
      </w:r>
    </w:p>
    <w:p w14:paraId="6B699379" w14:textId="77777777" w:rsidR="00880498" w:rsidRDefault="00880498" w:rsidP="00880498"/>
    <w:p w14:paraId="6B2B5471" w14:textId="77777777" w:rsidR="009B21CC" w:rsidRPr="009B21CC" w:rsidRDefault="009B21CC" w:rsidP="009B21CC">
      <w:proofErr w:type="spellStart"/>
      <w:r>
        <w:t>Kalnicky</w:t>
      </w:r>
      <w:proofErr w:type="spellEnd"/>
      <w:r>
        <w:t>, D. J</w:t>
      </w:r>
      <w:proofErr w:type="gramStart"/>
      <w:r>
        <w:t>,  and</w:t>
      </w:r>
      <w:proofErr w:type="gramEnd"/>
      <w:r>
        <w:t xml:space="preserve"> </w:t>
      </w:r>
      <w:proofErr w:type="spellStart"/>
      <w:r>
        <w:t>Singhvi</w:t>
      </w:r>
      <w:proofErr w:type="spellEnd"/>
      <w:r>
        <w:t xml:space="preserve">, R. (2001). Field Portable XRF analysis of Environmental Samples. </w:t>
      </w:r>
      <w:r w:rsidRPr="009B21CC">
        <w:rPr>
          <w:i/>
        </w:rPr>
        <w:t>Journal of Hazardous Materials.</w:t>
      </w:r>
      <w:r>
        <w:rPr>
          <w:i/>
        </w:rPr>
        <w:t xml:space="preserve"> </w:t>
      </w:r>
      <w:r>
        <w:t>83. 93-122</w:t>
      </w:r>
    </w:p>
    <w:p w14:paraId="3FE9F23F" w14:textId="77777777" w:rsidR="009B21CC" w:rsidRDefault="009B21CC" w:rsidP="009B21CC"/>
    <w:p w14:paraId="03CBCD04" w14:textId="77777777" w:rsidR="00E86340" w:rsidRDefault="00E86340" w:rsidP="009B21CC">
      <w:r>
        <w:t xml:space="preserve">Liu </w:t>
      </w:r>
      <w:r w:rsidRPr="00E86340">
        <w:rPr>
          <w:i/>
        </w:rPr>
        <w:t>et al</w:t>
      </w:r>
      <w:r>
        <w:t xml:space="preserve"> (20019). An empirical method to predict grain size from inorganic geochemical </w:t>
      </w:r>
      <w:r w:rsidR="00B51F37">
        <w:t>measurements. Geochemistry, Geophysics, Geosystems. 20</w:t>
      </w:r>
    </w:p>
    <w:p w14:paraId="1F72F646" w14:textId="77777777" w:rsidR="00F25B2F" w:rsidRDefault="00F25B2F" w:rsidP="009B21CC"/>
    <w:p w14:paraId="1EAE3F7E" w14:textId="77777777" w:rsidR="009B21CC" w:rsidRPr="00D60981" w:rsidRDefault="009B21CC" w:rsidP="009B21CC">
      <w:proofErr w:type="spellStart"/>
      <w:r>
        <w:t>McGladdery</w:t>
      </w:r>
      <w:proofErr w:type="spellEnd"/>
      <w:r>
        <w:t xml:space="preserve">, C. </w:t>
      </w:r>
      <w:r w:rsidRPr="00880498">
        <w:rPr>
          <w:i/>
        </w:rPr>
        <w:t>et al</w:t>
      </w:r>
      <w:r>
        <w:t xml:space="preserve"> (2018). Elemental Assessment of Vegetation via portable x-ray fluorescence (PXRF) spectrometry. Journal of Environmental Management. 210. 210-225.</w:t>
      </w:r>
    </w:p>
    <w:p w14:paraId="08CE6F91" w14:textId="77777777" w:rsidR="009B21CC" w:rsidRDefault="009B21CC" w:rsidP="00880498"/>
    <w:p w14:paraId="2A70D8E9" w14:textId="77777777" w:rsidR="00880498" w:rsidRDefault="00880498" w:rsidP="00880498">
      <w:r>
        <w:t xml:space="preserve">Sharma </w:t>
      </w:r>
      <w:r w:rsidRPr="00D60981">
        <w:rPr>
          <w:i/>
        </w:rPr>
        <w:t>et al</w:t>
      </w:r>
      <w:r>
        <w:t xml:space="preserve"> (2014)</w:t>
      </w:r>
      <w:r w:rsidR="009B21CC">
        <w:t xml:space="preserve">. Characterising soils by X-ray fluorescence spectrometer 4: Cation Exchange Capacity (CEC). </w:t>
      </w:r>
      <w:proofErr w:type="spellStart"/>
      <w:r w:rsidR="009B21CC" w:rsidRPr="009B21CC">
        <w:rPr>
          <w:i/>
        </w:rPr>
        <w:t>Geoderma</w:t>
      </w:r>
      <w:proofErr w:type="spellEnd"/>
      <w:r w:rsidR="009B21CC" w:rsidRPr="009B21CC">
        <w:rPr>
          <w:i/>
        </w:rPr>
        <w:t>.</w:t>
      </w:r>
      <w:r w:rsidR="009B21CC">
        <w:t xml:space="preserve"> 239-240. 130-134.</w:t>
      </w:r>
    </w:p>
    <w:p w14:paraId="2B1623D9" w14:textId="77777777" w:rsidR="00F25B2F" w:rsidRDefault="00F25B2F" w:rsidP="00880498">
      <w:proofErr w:type="spellStart"/>
      <w:r>
        <w:t>Shand</w:t>
      </w:r>
      <w:proofErr w:type="spellEnd"/>
      <w:r>
        <w:t xml:space="preserve">, C, and </w:t>
      </w:r>
      <w:proofErr w:type="spellStart"/>
      <w:r>
        <w:t>Wendler</w:t>
      </w:r>
      <w:proofErr w:type="spellEnd"/>
      <w:r>
        <w:t xml:space="preserve">, R. (2014). Portable X-ray Fluorescence analysis of mineral and organic soils and the influence of organic matter. </w:t>
      </w:r>
      <w:r w:rsidRPr="00F25B2F">
        <w:rPr>
          <w:i/>
        </w:rPr>
        <w:t>Journal of Geochemical Exploration</w:t>
      </w:r>
      <w:r>
        <w:t>. 143. 31-42.</w:t>
      </w:r>
    </w:p>
    <w:p w14:paraId="61CDCEAD" w14:textId="77777777" w:rsidR="009B21CC" w:rsidRDefault="009B21CC" w:rsidP="00880498"/>
    <w:p w14:paraId="48AE2EC9" w14:textId="77777777" w:rsidR="009B21CC" w:rsidRDefault="009B21CC" w:rsidP="009B21CC">
      <w:proofErr w:type="spellStart"/>
      <w:r>
        <w:t>Weindorf</w:t>
      </w:r>
      <w:proofErr w:type="spellEnd"/>
      <w:r>
        <w:t xml:space="preserve"> </w:t>
      </w:r>
      <w:r w:rsidRPr="00D60981">
        <w:rPr>
          <w:i/>
        </w:rPr>
        <w:t>et al</w:t>
      </w:r>
      <w:r>
        <w:t xml:space="preserve"> (2012). Characterising soils by X-ray fluorescence spectrometer 2: </w:t>
      </w:r>
      <w:proofErr w:type="spellStart"/>
      <w:r>
        <w:t>Spodic</w:t>
      </w:r>
      <w:proofErr w:type="spellEnd"/>
      <w:r>
        <w:t xml:space="preserve"> and </w:t>
      </w:r>
      <w:proofErr w:type="spellStart"/>
      <w:r>
        <w:t>Albic</w:t>
      </w:r>
      <w:proofErr w:type="spellEnd"/>
      <w:r>
        <w:t xml:space="preserve"> horizons. </w:t>
      </w:r>
      <w:proofErr w:type="spellStart"/>
      <w:r w:rsidRPr="009B21CC">
        <w:rPr>
          <w:i/>
        </w:rPr>
        <w:t>Geoderma</w:t>
      </w:r>
      <w:proofErr w:type="spellEnd"/>
      <w:r>
        <w:t>. 189-190. 268-277</w:t>
      </w:r>
    </w:p>
    <w:p w14:paraId="6BB9E253" w14:textId="77777777" w:rsidR="00880498" w:rsidRPr="00880498" w:rsidRDefault="00880498" w:rsidP="00880498"/>
    <w:p w14:paraId="23DE523C" w14:textId="77777777" w:rsidR="001532E2" w:rsidRDefault="001532E2" w:rsidP="001532E2">
      <w:pPr>
        <w:pStyle w:val="Address"/>
      </w:pPr>
    </w:p>
    <w:sectPr w:rsidR="001532E2" w:rsidSect="009D63E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56223" w14:textId="77777777" w:rsidR="009177E3" w:rsidRDefault="009177E3">
      <w:r>
        <w:separator/>
      </w:r>
    </w:p>
    <w:p w14:paraId="07547A01" w14:textId="77777777" w:rsidR="009177E3" w:rsidRDefault="009177E3"/>
  </w:endnote>
  <w:endnote w:type="continuationSeparator" w:id="0">
    <w:p w14:paraId="5043CB0F" w14:textId="77777777" w:rsidR="009177E3" w:rsidRDefault="009177E3">
      <w:r>
        <w:continuationSeparator/>
      </w:r>
    </w:p>
    <w:p w14:paraId="07459315" w14:textId="77777777" w:rsidR="009177E3" w:rsidRDefault="00917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ED0A" w14:textId="4F202789" w:rsidR="009177E3" w:rsidRDefault="009177E3" w:rsidP="00ED2E52">
    <w:pPr>
      <w:pStyle w:val="ContinuationFooter"/>
    </w:pPr>
    <w:r>
      <w:fldChar w:fldCharType="begin"/>
    </w:r>
    <w:r>
      <w:instrText xml:space="preserve"> page </w:instrText>
    </w:r>
    <w:r>
      <w:fldChar w:fldCharType="separate"/>
    </w:r>
    <w:r w:rsidR="008C770A">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F28F" w14:textId="77777777" w:rsidR="009177E3" w:rsidRDefault="009177E3">
      <w:r>
        <w:separator/>
      </w:r>
    </w:p>
    <w:p w14:paraId="6DFB9E20" w14:textId="77777777" w:rsidR="009177E3" w:rsidRDefault="009177E3"/>
  </w:footnote>
  <w:footnote w:type="continuationSeparator" w:id="0">
    <w:p w14:paraId="70DF9E56" w14:textId="77777777" w:rsidR="009177E3" w:rsidRDefault="009177E3">
      <w:r>
        <w:continuationSeparator/>
      </w:r>
    </w:p>
    <w:p w14:paraId="44E871BC" w14:textId="77777777" w:rsidR="009177E3" w:rsidRDefault="009177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9177E3" w14:paraId="144A5D23" w14:textId="77777777" w:rsidTr="00854B1E">
      <w:trPr>
        <w:trHeight w:hRule="exact" w:val="227"/>
      </w:trPr>
      <w:tc>
        <w:tcPr>
          <w:tcW w:w="9639" w:type="dxa"/>
        </w:tcPr>
        <w:p w14:paraId="738610EB" w14:textId="77777777" w:rsidR="009177E3" w:rsidRDefault="009177E3" w:rsidP="0029789A">
          <w:pPr>
            <w:pStyle w:val="Header"/>
          </w:pPr>
        </w:p>
      </w:tc>
    </w:tr>
    <w:tr w:rsidR="009177E3" w14:paraId="637805D2" w14:textId="77777777" w:rsidTr="00854B1E">
      <w:trPr>
        <w:trHeight w:val="1571"/>
      </w:trPr>
      <w:tc>
        <w:tcPr>
          <w:tcW w:w="9639" w:type="dxa"/>
        </w:tcPr>
        <w:p w14:paraId="463F29E8" w14:textId="77777777" w:rsidR="009177E3" w:rsidRDefault="009B21CC" w:rsidP="0029789A">
          <w:pPr>
            <w:pStyle w:val="Header"/>
            <w:jc w:val="right"/>
          </w:pPr>
          <w:r w:rsidRPr="00F55CD5">
            <w:rPr>
              <w:noProof/>
            </w:rPr>
            <w:drawing>
              <wp:inline distT="0" distB="0" distL="0" distR="0" wp14:anchorId="31C02055" wp14:editId="07777777">
                <wp:extent cx="1981200" cy="428625"/>
                <wp:effectExtent l="0" t="0" r="0" b="0"/>
                <wp:docPr id="2"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3B7B4B86" w14:textId="77777777" w:rsidR="009177E3" w:rsidRPr="0029789A" w:rsidRDefault="009177E3" w:rsidP="0082020C">
    <w:pPr>
      <w:pStyle w:val="DocTit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21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144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887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00B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44B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69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F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AF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8A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15A9"/>
    <w:multiLevelType w:val="multilevel"/>
    <w:tmpl w:val="E85E02E4"/>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43C3248"/>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2" w15:restartNumberingAfterBreak="0">
    <w:nsid w:val="10845601"/>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4F527F7"/>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7554C5A"/>
    <w:multiLevelType w:val="multilevel"/>
    <w:tmpl w:val="647A127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02900B7"/>
    <w:multiLevelType w:val="hybridMultilevel"/>
    <w:tmpl w:val="2968E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1516B77"/>
    <w:multiLevelType w:val="multilevel"/>
    <w:tmpl w:val="4376543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lowerLetter"/>
      <w:lvlText w:val="%4)"/>
      <w:lvlJc w:val="left"/>
      <w:pPr>
        <w:tabs>
          <w:tab w:val="num" w:pos="998"/>
        </w:tabs>
        <w:ind w:left="998" w:hanging="28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6B951FF"/>
    <w:multiLevelType w:val="multilevel"/>
    <w:tmpl w:val="D47AFFB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7DB3ED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1C75C32"/>
    <w:multiLevelType w:val="multilevel"/>
    <w:tmpl w:val="D5C8E10C"/>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0221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443E19"/>
    <w:multiLevelType w:val="hybridMultilevel"/>
    <w:tmpl w:val="1862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74F9F"/>
    <w:multiLevelType w:val="multilevel"/>
    <w:tmpl w:val="3C0046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4320" w:hanging="1440"/>
      </w:pPr>
      <w:rPr>
        <w:rFonts w:hint="default"/>
      </w:rPr>
    </w:lvl>
  </w:abstractNum>
  <w:abstractNum w:abstractNumId="23" w15:restartNumberingAfterBreak="0">
    <w:nsid w:val="3AA92436"/>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5643F50"/>
    <w:multiLevelType w:val="multilevel"/>
    <w:tmpl w:val="A9246FB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A7760"/>
    <w:multiLevelType w:val="hybridMultilevel"/>
    <w:tmpl w:val="CDE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95E38"/>
    <w:multiLevelType w:val="hybridMultilevel"/>
    <w:tmpl w:val="BEC418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2F1318"/>
    <w:multiLevelType w:val="multilevel"/>
    <w:tmpl w:val="D2EE7342"/>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231FF"/>
    <w:multiLevelType w:val="hybridMultilevel"/>
    <w:tmpl w:val="7FF8A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D54EE"/>
    <w:multiLevelType w:val="multilevel"/>
    <w:tmpl w:val="803E5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86E2021"/>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4" w15:restartNumberingAfterBreak="0">
    <w:nsid w:val="69954DE1"/>
    <w:multiLevelType w:val="hybridMultilevel"/>
    <w:tmpl w:val="EE969808"/>
    <w:lvl w:ilvl="0" w:tplc="84F8B900">
      <w:start w:val="1"/>
      <w:numFmt w:val="decimal"/>
      <w:lvlText w:val="Part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B392CD5"/>
    <w:multiLevelType w:val="multilevel"/>
    <w:tmpl w:val="81B6B8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3744" w:hanging="1224"/>
      </w:pPr>
      <w:rPr>
        <w:rFonts w:hint="default"/>
      </w:rPr>
    </w:lvl>
    <w:lvl w:ilvl="8">
      <w:start w:val="1"/>
      <w:numFmt w:val="none"/>
      <w:suff w:val="nothing"/>
      <w:lvlText w:val=""/>
      <w:lvlJc w:val="left"/>
      <w:pPr>
        <w:ind w:left="4320" w:hanging="1440"/>
      </w:pPr>
      <w:rPr>
        <w:rFonts w:hint="default"/>
      </w:rPr>
    </w:lvl>
  </w:abstractNum>
  <w:abstractNum w:abstractNumId="36" w15:restartNumberingAfterBreak="0">
    <w:nsid w:val="6D8B2A70"/>
    <w:multiLevelType w:val="multilevel"/>
    <w:tmpl w:val="691489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FBC5623"/>
    <w:multiLevelType w:val="multilevel"/>
    <w:tmpl w:val="456A48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01473F8"/>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34E4B61"/>
    <w:multiLevelType w:val="multilevel"/>
    <w:tmpl w:val="FBEAF40A"/>
    <w:lvl w:ilvl="0">
      <w:start w:val="1"/>
      <w:numFmt w:val="decimal"/>
      <w:lvlText w:val="%1."/>
      <w:lvlJc w:val="left"/>
      <w:pPr>
        <w:tabs>
          <w:tab w:val="num" w:pos="714"/>
        </w:tabs>
        <w:ind w:left="714" w:hanging="714"/>
      </w:pPr>
      <w:rPr>
        <w:rFonts w:hint="default"/>
      </w:rPr>
    </w:lvl>
    <w:lvl w:ilvl="1">
      <w:start w:val="1"/>
      <w:numFmt w:val="bullet"/>
      <w:lvlText w:val=""/>
      <w:lvlJc w:val="left"/>
      <w:pPr>
        <w:tabs>
          <w:tab w:val="num" w:pos="358"/>
        </w:tabs>
        <w:ind w:left="358" w:hanging="358"/>
      </w:pPr>
      <w:rPr>
        <w:rFonts w:ascii="Symbol" w:hAnsi="Symbol"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1" w15:restartNumberingAfterBreak="0">
    <w:nsid w:val="7C661F68"/>
    <w:multiLevelType w:val="multilevel"/>
    <w:tmpl w:val="D1D6941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204553"/>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40"/>
  </w:num>
  <w:num w:numId="2">
    <w:abstractNumId w:val="32"/>
  </w:num>
  <w:num w:numId="3">
    <w:abstractNumId w:val="12"/>
  </w:num>
  <w:num w:numId="4">
    <w:abstractNumId w:val="13"/>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30"/>
  </w:num>
  <w:num w:numId="19">
    <w:abstractNumId w:val="26"/>
  </w:num>
  <w:num w:numId="20">
    <w:abstractNumId w:val="24"/>
  </w:num>
  <w:num w:numId="21">
    <w:abstractNumId w:val="39"/>
  </w:num>
  <w:num w:numId="22">
    <w:abstractNumId w:val="31"/>
  </w:num>
  <w:num w:numId="23">
    <w:abstractNumId w:val="28"/>
  </w:num>
  <w:num w:numId="24">
    <w:abstractNumId w:val="16"/>
  </w:num>
  <w:num w:numId="25">
    <w:abstractNumId w:val="38"/>
  </w:num>
  <w:num w:numId="26">
    <w:abstractNumId w:val="23"/>
  </w:num>
  <w:num w:numId="27">
    <w:abstractNumId w:val="29"/>
  </w:num>
  <w:num w:numId="28">
    <w:abstractNumId w:val="14"/>
  </w:num>
  <w:num w:numId="29">
    <w:abstractNumId w:val="17"/>
  </w:num>
  <w:num w:numId="30">
    <w:abstractNumId w:val="10"/>
  </w:num>
  <w:num w:numId="31">
    <w:abstractNumId w:val="37"/>
  </w:num>
  <w:num w:numId="32">
    <w:abstractNumId w:val="36"/>
  </w:num>
  <w:num w:numId="33">
    <w:abstractNumId w:val="35"/>
  </w:num>
  <w:num w:numId="34">
    <w:abstractNumId w:val="22"/>
  </w:num>
  <w:num w:numId="35">
    <w:abstractNumId w:val="11"/>
  </w:num>
  <w:num w:numId="36">
    <w:abstractNumId w:val="20"/>
  </w:num>
  <w:num w:numId="37">
    <w:abstractNumId w:val="33"/>
  </w:num>
  <w:num w:numId="38">
    <w:abstractNumId w:val="42"/>
  </w:num>
  <w:num w:numId="39">
    <w:abstractNumId w:val="34"/>
  </w:num>
  <w:num w:numId="40">
    <w:abstractNumId w:val="25"/>
  </w:num>
  <w:num w:numId="41">
    <w:abstractNumId w:val="41"/>
  </w:num>
  <w:num w:numId="42">
    <w:abstractNumId w:val="2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E9"/>
    <w:rsid w:val="0000043D"/>
    <w:rsid w:val="00015087"/>
    <w:rsid w:val="00062768"/>
    <w:rsid w:val="00063081"/>
    <w:rsid w:val="00071653"/>
    <w:rsid w:val="000824F4"/>
    <w:rsid w:val="000978E8"/>
    <w:rsid w:val="000B1DED"/>
    <w:rsid w:val="000C6C61"/>
    <w:rsid w:val="001532E2"/>
    <w:rsid w:val="0018144C"/>
    <w:rsid w:val="001840EA"/>
    <w:rsid w:val="001C5C5C"/>
    <w:rsid w:val="001D0B37"/>
    <w:rsid w:val="001D5201"/>
    <w:rsid w:val="00216B5A"/>
    <w:rsid w:val="00236BFE"/>
    <w:rsid w:val="00241441"/>
    <w:rsid w:val="0024539C"/>
    <w:rsid w:val="00254722"/>
    <w:rsid w:val="002547F5"/>
    <w:rsid w:val="00260333"/>
    <w:rsid w:val="00260B1D"/>
    <w:rsid w:val="0029789A"/>
    <w:rsid w:val="002A70BE"/>
    <w:rsid w:val="002C6198"/>
    <w:rsid w:val="002D4DF4"/>
    <w:rsid w:val="00313CC8"/>
    <w:rsid w:val="003178D9"/>
    <w:rsid w:val="0034151E"/>
    <w:rsid w:val="00364B2C"/>
    <w:rsid w:val="003701F7"/>
    <w:rsid w:val="003B0262"/>
    <w:rsid w:val="003B64E9"/>
    <w:rsid w:val="00463797"/>
    <w:rsid w:val="00474D00"/>
    <w:rsid w:val="004B2A50"/>
    <w:rsid w:val="004C0252"/>
    <w:rsid w:val="0051744C"/>
    <w:rsid w:val="00524005"/>
    <w:rsid w:val="00541CE0"/>
    <w:rsid w:val="005534E1"/>
    <w:rsid w:val="00573487"/>
    <w:rsid w:val="005949FA"/>
    <w:rsid w:val="005D44D1"/>
    <w:rsid w:val="006220BA"/>
    <w:rsid w:val="006249FD"/>
    <w:rsid w:val="00695D76"/>
    <w:rsid w:val="006D0237"/>
    <w:rsid w:val="006D6B26"/>
    <w:rsid w:val="006F7C0A"/>
    <w:rsid w:val="0070376B"/>
    <w:rsid w:val="00761108"/>
    <w:rsid w:val="0079197B"/>
    <w:rsid w:val="00791A2A"/>
    <w:rsid w:val="007C6FAA"/>
    <w:rsid w:val="007E2D19"/>
    <w:rsid w:val="007F2AEA"/>
    <w:rsid w:val="00813A2C"/>
    <w:rsid w:val="0082020C"/>
    <w:rsid w:val="0082075E"/>
    <w:rsid w:val="00854B1E"/>
    <w:rsid w:val="00856B8A"/>
    <w:rsid w:val="00880498"/>
    <w:rsid w:val="00883499"/>
    <w:rsid w:val="008C770A"/>
    <w:rsid w:val="008F03C7"/>
    <w:rsid w:val="009177E3"/>
    <w:rsid w:val="00945F4B"/>
    <w:rsid w:val="009464AF"/>
    <w:rsid w:val="00965BFB"/>
    <w:rsid w:val="00970E28"/>
    <w:rsid w:val="00972E3B"/>
    <w:rsid w:val="0098120F"/>
    <w:rsid w:val="009B21CC"/>
    <w:rsid w:val="009D63E1"/>
    <w:rsid w:val="00A021B7"/>
    <w:rsid w:val="00A131D9"/>
    <w:rsid w:val="00A23226"/>
    <w:rsid w:val="00A34296"/>
    <w:rsid w:val="00A521A9"/>
    <w:rsid w:val="00A600CE"/>
    <w:rsid w:val="00A73B88"/>
    <w:rsid w:val="00A925C0"/>
    <w:rsid w:val="00AA3CB5"/>
    <w:rsid w:val="00AC2B17"/>
    <w:rsid w:val="00AE1CA0"/>
    <w:rsid w:val="00AE39DC"/>
    <w:rsid w:val="00AE4DC4"/>
    <w:rsid w:val="00B51F37"/>
    <w:rsid w:val="00B54168"/>
    <w:rsid w:val="00B84C12"/>
    <w:rsid w:val="00B95AFB"/>
    <w:rsid w:val="00B9641B"/>
    <w:rsid w:val="00BA0CAE"/>
    <w:rsid w:val="00BB4A42"/>
    <w:rsid w:val="00BB7845"/>
    <w:rsid w:val="00BF1CC6"/>
    <w:rsid w:val="00C907D0"/>
    <w:rsid w:val="00CD04F0"/>
    <w:rsid w:val="00CE3A26"/>
    <w:rsid w:val="00D0050B"/>
    <w:rsid w:val="00D16D9D"/>
    <w:rsid w:val="00D54AA2"/>
    <w:rsid w:val="00D5587F"/>
    <w:rsid w:val="00D60981"/>
    <w:rsid w:val="00D65B56"/>
    <w:rsid w:val="00D67D41"/>
    <w:rsid w:val="00E25775"/>
    <w:rsid w:val="00E363B8"/>
    <w:rsid w:val="00E63AC1"/>
    <w:rsid w:val="00E86340"/>
    <w:rsid w:val="00ED2E52"/>
    <w:rsid w:val="00F00E2A"/>
    <w:rsid w:val="00F25B2F"/>
    <w:rsid w:val="00F85DED"/>
    <w:rsid w:val="00F90F90"/>
    <w:rsid w:val="00FA125E"/>
    <w:rsid w:val="00FC2ADA"/>
    <w:rsid w:val="00FF140B"/>
    <w:rsid w:val="4DDC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B8EC5B"/>
  <w15:chartTrackingRefBased/>
  <w15:docId w15:val="{528BD683-F20B-47C7-9489-307DD17B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6"/>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18"/>
      </w:numPr>
    </w:pPr>
  </w:style>
  <w:style w:type="paragraph" w:styleId="ListBullet3">
    <w:name w:val="List Bullet 3"/>
    <w:basedOn w:val="Normal"/>
    <w:rsid w:val="00856B8A"/>
    <w:pPr>
      <w:numPr>
        <w:numId w:val="20"/>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40"/>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styleId="Hyperlink">
    <w:name w:val="Hyperlink"/>
    <w:basedOn w:val="DefaultParagraphFont"/>
    <w:rsid w:val="003B64E9"/>
    <w:rPr>
      <w:color w:val="0563C1" w:themeColor="hyperlink"/>
      <w:u w:val="single"/>
    </w:rPr>
  </w:style>
  <w:style w:type="character" w:customStyle="1" w:styleId="UnresolvedMention">
    <w:name w:val="Unresolved Mention"/>
    <w:basedOn w:val="DefaultParagraphFont"/>
    <w:uiPriority w:val="99"/>
    <w:semiHidden/>
    <w:unhideWhenUsed/>
    <w:rsid w:val="003B6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29709">
      <w:bodyDiv w:val="1"/>
      <w:marLeft w:val="0"/>
      <w:marRight w:val="0"/>
      <w:marTop w:val="0"/>
      <w:marBottom w:val="0"/>
      <w:divBdr>
        <w:top w:val="none" w:sz="0" w:space="0" w:color="auto"/>
        <w:left w:val="none" w:sz="0" w:space="0" w:color="auto"/>
        <w:bottom w:val="none" w:sz="0" w:space="0" w:color="auto"/>
        <w:right w:val="none" w:sz="0" w:space="0" w:color="auto"/>
      </w:divBdr>
    </w:div>
    <w:div w:id="2101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cAKcOyrt5V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m1f10\AppData\Roaming\Microsoft\Templates\UOS%20Templates\SU_Report_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36121605875497"/>
          <c:y val="2.4434513253410891E-2"/>
          <c:w val="0.6265004766780834"/>
          <c:h val="0.80636951912542465"/>
        </c:manualLayout>
      </c:layout>
      <c:barChart>
        <c:barDir val="col"/>
        <c:grouping val="clustered"/>
        <c:varyColors val="0"/>
        <c:ser>
          <c:idx val="0"/>
          <c:order val="0"/>
          <c:tx>
            <c:v>calcium content</c:v>
          </c:tx>
          <c:invertIfNegative val="0"/>
          <c:cat>
            <c:strRef>
              <c:f>Sheet1!$H$39:$H$42</c:f>
              <c:strCache>
                <c:ptCount val="4"/>
                <c:pt idx="0">
                  <c:v>Goethite limonite</c:v>
                </c:pt>
                <c:pt idx="1">
                  <c:v>soil A</c:v>
                </c:pt>
                <c:pt idx="2">
                  <c:v>soil B</c:v>
                </c:pt>
                <c:pt idx="3">
                  <c:v>soil C</c:v>
                </c:pt>
              </c:strCache>
            </c:strRef>
          </c:cat>
          <c:val>
            <c:numRef>
              <c:f>Sheet1!$N$39:$N$42</c:f>
              <c:numCache>
                <c:formatCode>General</c:formatCode>
                <c:ptCount val="4"/>
                <c:pt idx="0">
                  <c:v>0.34300000000000003</c:v>
                </c:pt>
                <c:pt idx="1">
                  <c:v>0.58899999999999997</c:v>
                </c:pt>
                <c:pt idx="2">
                  <c:v>1.9259999999999999</c:v>
                </c:pt>
                <c:pt idx="3">
                  <c:v>13.808</c:v>
                </c:pt>
              </c:numCache>
            </c:numRef>
          </c:val>
          <c:extLst>
            <c:ext xmlns:c16="http://schemas.microsoft.com/office/drawing/2014/chart" uri="{C3380CC4-5D6E-409C-BE32-E72D297353CC}">
              <c16:uniqueId val="{00000000-5932-481E-994E-BBB712206F36}"/>
            </c:ext>
          </c:extLst>
        </c:ser>
        <c:ser>
          <c:idx val="1"/>
          <c:order val="1"/>
          <c:tx>
            <c:v>Iron content</c:v>
          </c:tx>
          <c:invertIfNegative val="0"/>
          <c:cat>
            <c:strRef>
              <c:f>Sheet1!$H$39:$H$42</c:f>
              <c:strCache>
                <c:ptCount val="4"/>
                <c:pt idx="0">
                  <c:v>Goethite limonite</c:v>
                </c:pt>
                <c:pt idx="1">
                  <c:v>soil A</c:v>
                </c:pt>
                <c:pt idx="2">
                  <c:v>soil B</c:v>
                </c:pt>
                <c:pt idx="3">
                  <c:v>soil C</c:v>
                </c:pt>
              </c:strCache>
            </c:strRef>
          </c:cat>
          <c:val>
            <c:numRef>
              <c:f>Sheet1!$AR$39:$AR$42</c:f>
              <c:numCache>
                <c:formatCode>General</c:formatCode>
                <c:ptCount val="4"/>
                <c:pt idx="0">
                  <c:v>58.255000000000003</c:v>
                </c:pt>
                <c:pt idx="1">
                  <c:v>2.2469999999999999</c:v>
                </c:pt>
                <c:pt idx="2">
                  <c:v>0.96199999999999997</c:v>
                </c:pt>
                <c:pt idx="3">
                  <c:v>1.8120000000000001</c:v>
                </c:pt>
              </c:numCache>
            </c:numRef>
          </c:val>
          <c:extLst>
            <c:ext xmlns:c16="http://schemas.microsoft.com/office/drawing/2014/chart" uri="{C3380CC4-5D6E-409C-BE32-E72D297353CC}">
              <c16:uniqueId val="{00000001-5932-481E-994E-BBB712206F36}"/>
            </c:ext>
          </c:extLst>
        </c:ser>
        <c:dLbls>
          <c:showLegendKey val="0"/>
          <c:showVal val="0"/>
          <c:showCatName val="0"/>
          <c:showSerName val="0"/>
          <c:showPercent val="0"/>
          <c:showBubbleSize val="0"/>
        </c:dLbls>
        <c:gapWidth val="150"/>
        <c:axId val="1867213455"/>
        <c:axId val="1"/>
      </c:barChart>
      <c:catAx>
        <c:axId val="1867213455"/>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max val="60"/>
        </c:scaling>
        <c:delete val="0"/>
        <c:axPos val="l"/>
        <c:majorGridlines/>
        <c:numFmt formatCode="General" sourceLinked="1"/>
        <c:majorTickMark val="out"/>
        <c:minorTickMark val="none"/>
        <c:tickLblPos val="nextTo"/>
        <c:crossAx val="1867213455"/>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2C0B87DD3F904FBC309B65B7396438" ma:contentTypeVersion="0" ma:contentTypeDescription="Create a new document." ma:contentTypeScope="" ma:versionID="139e1ab0928c8e6c5f4da672c9ff823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E93D6-046A-449B-930A-8F5A8DDF426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B37B0A7-6170-4F38-A80A-1546F921D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5DDC81-EAD1-43E3-9B29-89C20F64F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2</TotalTime>
  <Pages>7</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template</vt:lpstr>
    </vt:vector>
  </TitlesOfParts>
  <Company>Southampton University</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Morgan P.R.</dc:creator>
  <cp:keywords>V0.1</cp:keywords>
  <cp:lastModifiedBy>Morgan P.R.</cp:lastModifiedBy>
  <cp:revision>3</cp:revision>
  <cp:lastPrinted>2019-11-28T15:57:00Z</cp:lastPrinted>
  <dcterms:created xsi:type="dcterms:W3CDTF">2020-08-27T14:28:00Z</dcterms:created>
  <dcterms:modified xsi:type="dcterms:W3CDTF">2020-08-27T14:30:00Z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0x0101001B2C0B87DD3F904FBC309B65B7396438</vt:lpwstr>
  </property>
  <property fmtid="{D5CDD505-2E9C-101B-9397-08002B2CF9AE}" pid="3" name="PublishingRollupImage">
    <vt:lpwstr/>
  </property>
  <property fmtid="{D5CDD505-2E9C-101B-9397-08002B2CF9AE}" pid="4" name="PublishingContactEmail">
    <vt:lpwstr/>
  </property>
  <property fmtid="{D5CDD505-2E9C-101B-9397-08002B2CF9AE}" pid="5" name="PublishingVariationRelationshipLinkFieldID">
    <vt:lpwstr>, </vt:lpwstr>
  </property>
  <property fmtid="{D5CDD505-2E9C-101B-9397-08002B2CF9AE}" pid="6" name="PublishingVariationGroupID">
    <vt:lpwstr/>
  </property>
  <property fmtid="{D5CDD505-2E9C-101B-9397-08002B2CF9AE}" pid="7" name="Audience">
    <vt:lpwstr/>
  </property>
  <property fmtid="{D5CDD505-2E9C-101B-9397-08002B2CF9AE}" pid="8" name="PublishingExpirationDate">
    <vt:lpwstr/>
  </property>
  <property fmtid="{D5CDD505-2E9C-101B-9397-08002B2CF9AE}" pid="9" name="PublishingContactPicture">
    <vt:lpwstr>, </vt:lpwstr>
  </property>
  <property fmtid="{D5CDD505-2E9C-101B-9397-08002B2CF9AE}" pid="10" name="PublishingStartDate">
    <vt:lpwstr/>
  </property>
  <property fmtid="{D5CDD505-2E9C-101B-9397-08002B2CF9AE}" pid="11" name="PublishingContact">
    <vt:lpwstr/>
  </property>
  <property fmtid="{D5CDD505-2E9C-101B-9397-08002B2CF9AE}" pid="12" name="PublishingContactName">
    <vt:lpwstr/>
  </property>
  <property fmtid="{D5CDD505-2E9C-101B-9397-08002B2CF9AE}" pid="13" name="Comments">
    <vt:lpwstr/>
  </property>
</Properties>
</file>